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D42B"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C224C3">
      <w:pPr>
        <w:pStyle w:val="Ttulo"/>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Ttulo"/>
        <w:rPr>
          <w:sz w:val="2"/>
        </w:rPr>
      </w:pPr>
    </w:p>
    <w:p w14:paraId="05F48D54"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48363757" w:rsidR="00A86C41" w:rsidRPr="00E84C03" w:rsidRDefault="00A63478" w:rsidP="004101C6">
            <w:pPr>
              <w:pStyle w:val="Ttulo"/>
              <w:rPr>
                <w:sz w:val="16"/>
                <w:szCs w:val="16"/>
              </w:rPr>
            </w:pPr>
            <w:r>
              <w:rPr>
                <w:sz w:val="16"/>
                <w:szCs w:val="16"/>
              </w:rPr>
              <w:t>X</w:t>
            </w: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4101C6">
            <w:pPr>
              <w:pStyle w:val="Ttulo"/>
              <w:rPr>
                <w:sz w:val="16"/>
                <w:szCs w:val="16"/>
              </w:rPr>
            </w:pP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77777777" w:rsidR="00174B22" w:rsidRPr="00E84C03" w:rsidRDefault="00174B22" w:rsidP="00174B22">
            <w:pPr>
              <w:pStyle w:val="Ttulo"/>
              <w:rPr>
                <w:sz w:val="16"/>
                <w:szCs w:val="16"/>
              </w:rPr>
            </w:pPr>
          </w:p>
        </w:tc>
        <w:tc>
          <w:tcPr>
            <w:tcW w:w="6804" w:type="dxa"/>
          </w:tcPr>
          <w:p w14:paraId="6B4FD1BC" w14:textId="7C806CC7" w:rsidR="00174B22" w:rsidRPr="00ED7394" w:rsidRDefault="00174B22" w:rsidP="00174B22">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174B22" w:rsidRPr="0071605E" w14:paraId="499F3BF4" w14:textId="77777777" w:rsidTr="00174B22">
        <w:trPr>
          <w:trHeight w:val="451"/>
        </w:trPr>
        <w:tc>
          <w:tcPr>
            <w:tcW w:w="709" w:type="dxa"/>
          </w:tcPr>
          <w:p w14:paraId="09ABDB31" w14:textId="6AE318BE" w:rsidR="00174B22" w:rsidRPr="00E84C03" w:rsidRDefault="000C1D4D" w:rsidP="00174B22">
            <w:pPr>
              <w:pStyle w:val="Ttulo"/>
              <w:rPr>
                <w:sz w:val="16"/>
                <w:szCs w:val="16"/>
              </w:rPr>
            </w:pPr>
            <w:r w:rsidRPr="005D6C7D">
              <w:rPr>
                <w:sz w:val="16"/>
                <w:szCs w:val="16"/>
              </w:rPr>
              <w:t>X</w:t>
            </w:r>
          </w:p>
        </w:tc>
        <w:tc>
          <w:tcPr>
            <w:tcW w:w="6804" w:type="dxa"/>
          </w:tcPr>
          <w:p w14:paraId="33EE3150" w14:textId="65DA0713" w:rsidR="00174B22" w:rsidRPr="00ED7394" w:rsidRDefault="00174B22" w:rsidP="00174B22">
            <w:pPr>
              <w:pStyle w:val="Ttulo"/>
              <w:jc w:val="left"/>
              <w:rPr>
                <w:sz w:val="16"/>
                <w:szCs w:val="16"/>
              </w:rPr>
            </w:pPr>
            <w:r w:rsidRPr="00B015E1">
              <w:rPr>
                <w:sz w:val="16"/>
                <w:szCs w:val="16"/>
              </w:rPr>
              <w:t>El nuevo sentido del aprendizaje y de la formación en las organizaciones</w:t>
            </w:r>
          </w:p>
        </w:tc>
      </w:tr>
      <w:tr w:rsidR="00174B22" w:rsidRPr="00ED7394" w14:paraId="5173B394" w14:textId="77777777" w:rsidTr="00174B22">
        <w:trPr>
          <w:trHeight w:val="451"/>
        </w:trPr>
        <w:tc>
          <w:tcPr>
            <w:tcW w:w="709" w:type="dxa"/>
          </w:tcPr>
          <w:p w14:paraId="7CCBE9E3" w14:textId="77777777" w:rsidR="00174B22" w:rsidRPr="00E84C03" w:rsidRDefault="00174B22" w:rsidP="00174B22">
            <w:pPr>
              <w:pStyle w:val="Ttulo"/>
              <w:rPr>
                <w:sz w:val="16"/>
                <w:szCs w:val="16"/>
              </w:rPr>
            </w:pPr>
          </w:p>
        </w:tc>
        <w:tc>
          <w:tcPr>
            <w:tcW w:w="6804" w:type="dxa"/>
          </w:tcPr>
          <w:p w14:paraId="524D2509" w14:textId="784E5C9C" w:rsidR="00174B22" w:rsidRPr="00ED7394" w:rsidRDefault="00174B22" w:rsidP="00174B22">
            <w:pPr>
              <w:pStyle w:val="Ttulo"/>
              <w:jc w:val="left"/>
              <w:rPr>
                <w:sz w:val="16"/>
                <w:szCs w:val="16"/>
              </w:rPr>
            </w:pPr>
            <w:r w:rsidRPr="00B015E1">
              <w:rPr>
                <w:sz w:val="16"/>
                <w:szCs w:val="16"/>
              </w:rPr>
              <w:t>Gestión del talento y de la inteligencia colectiva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Ttulo"/>
              <w:rPr>
                <w:sz w:val="16"/>
                <w:szCs w:val="16"/>
              </w:rPr>
            </w:pPr>
          </w:p>
        </w:tc>
        <w:tc>
          <w:tcPr>
            <w:tcW w:w="6804" w:type="dxa"/>
          </w:tcPr>
          <w:p w14:paraId="3CB3A98C" w14:textId="7143BE69" w:rsidR="00174B22" w:rsidRPr="00ED7394" w:rsidRDefault="00174B22" w:rsidP="00174B22">
            <w:pPr>
              <w:pStyle w:val="Ttulo"/>
              <w:jc w:val="left"/>
              <w:rPr>
                <w:sz w:val="16"/>
                <w:szCs w:val="16"/>
              </w:rPr>
            </w:pPr>
            <w:r w:rsidRPr="00B015E1">
              <w:rPr>
                <w:sz w:val="16"/>
                <w:szCs w:val="16"/>
              </w:rPr>
              <w:t>Redes corporativas para la promoción de la cultura de aprendizaje e inteligencia colectiva en las organizaciones.</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ulo"/>
              <w:rPr>
                <w:sz w:val="16"/>
                <w:szCs w:val="16"/>
              </w:rPr>
            </w:pPr>
          </w:p>
        </w:tc>
        <w:tc>
          <w:tcPr>
            <w:tcW w:w="6804" w:type="dxa"/>
          </w:tcPr>
          <w:p w14:paraId="5D0C78BC" w14:textId="4EECB828" w:rsidR="00174B22" w:rsidRPr="00ED7394" w:rsidRDefault="00174B22" w:rsidP="00174B22">
            <w:pPr>
              <w:pStyle w:val="Ttulo"/>
              <w:jc w:val="left"/>
              <w:rPr>
                <w:sz w:val="16"/>
                <w:szCs w:val="16"/>
              </w:rPr>
            </w:pPr>
            <w:r w:rsidRPr="00B015E1">
              <w:rPr>
                <w:sz w:val="16"/>
                <w:szCs w:val="16"/>
              </w:rPr>
              <w:t>Aprendizaje social y colaborativo en la gestión del conocimiento colectivo.</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tulo"/>
              <w:rPr>
                <w:sz w:val="16"/>
                <w:szCs w:val="16"/>
              </w:rPr>
            </w:pPr>
          </w:p>
        </w:tc>
        <w:tc>
          <w:tcPr>
            <w:tcW w:w="6804" w:type="dxa"/>
          </w:tcPr>
          <w:p w14:paraId="5FAC036E" w14:textId="6A61B3AA" w:rsidR="00174B22" w:rsidRPr="00ED7394" w:rsidRDefault="00174B22" w:rsidP="00174B22">
            <w:pPr>
              <w:pStyle w:val="Ttulo"/>
              <w:jc w:val="left"/>
              <w:rPr>
                <w:sz w:val="16"/>
                <w:szCs w:val="16"/>
              </w:rPr>
            </w:pPr>
            <w:r w:rsidRPr="00B015E1">
              <w:rPr>
                <w:sz w:val="16"/>
                <w:szCs w:val="16"/>
              </w:rPr>
              <w:t>Gestión del aprendizaje formal e informal en las organizaciones.</w:t>
            </w:r>
          </w:p>
        </w:tc>
      </w:tr>
      <w:tr w:rsidR="00174B22" w:rsidRPr="00E84C03" w14:paraId="6488BFEB" w14:textId="77777777" w:rsidTr="00174B22">
        <w:trPr>
          <w:trHeight w:val="451"/>
        </w:trPr>
        <w:tc>
          <w:tcPr>
            <w:tcW w:w="709" w:type="dxa"/>
          </w:tcPr>
          <w:p w14:paraId="0F0FBE96" w14:textId="77777777" w:rsidR="00174B22" w:rsidRPr="00F303E1" w:rsidRDefault="00174B22" w:rsidP="00174B22">
            <w:pPr>
              <w:pStyle w:val="Ttulo"/>
              <w:rPr>
                <w:sz w:val="16"/>
                <w:szCs w:val="16"/>
              </w:rPr>
            </w:pPr>
          </w:p>
        </w:tc>
        <w:tc>
          <w:tcPr>
            <w:tcW w:w="6804" w:type="dxa"/>
          </w:tcPr>
          <w:p w14:paraId="2C881A2D" w14:textId="4136787E" w:rsidR="00174B22" w:rsidRPr="00ED7394" w:rsidRDefault="00174B22" w:rsidP="00174B22">
            <w:pPr>
              <w:pStyle w:val="Ttulo"/>
              <w:jc w:val="left"/>
              <w:rPr>
                <w:sz w:val="16"/>
                <w:szCs w:val="16"/>
              </w:rPr>
            </w:pPr>
            <w:r w:rsidRPr="00B015E1">
              <w:rPr>
                <w:sz w:val="16"/>
                <w:szCs w:val="16"/>
              </w:rPr>
              <w:t>El rol de los directivos en los nuevos escenarios</w:t>
            </w:r>
          </w:p>
        </w:tc>
      </w:tr>
    </w:tbl>
    <w:p w14:paraId="6D378C2F" w14:textId="77777777" w:rsidR="00EE2AD6" w:rsidRDefault="00EE2AD6" w:rsidP="00FA3299">
      <w:pPr>
        <w:pBdr>
          <w:bottom w:val="single" w:sz="6" w:space="1" w:color="auto"/>
        </w:pBdr>
        <w:spacing w:line="240" w:lineRule="auto"/>
        <w:rPr>
          <w:rFonts w:ascii="Times New Roman" w:hAnsi="Times New Roman"/>
          <w:b/>
        </w:rPr>
      </w:pPr>
    </w:p>
    <w:p w14:paraId="21790670" w14:textId="4D49FC09" w:rsidR="002B7CA3" w:rsidRDefault="002B7CA3" w:rsidP="00FA3299">
      <w:pPr>
        <w:pBdr>
          <w:bottom w:val="single" w:sz="6" w:space="1" w:color="auto"/>
        </w:pBdr>
        <w:spacing w:line="240" w:lineRule="auto"/>
        <w:rPr>
          <w:rFonts w:ascii="Times New Roman" w:hAnsi="Times New Roman"/>
          <w:b/>
        </w:rPr>
      </w:pPr>
    </w:p>
    <w:p w14:paraId="2A56BFB6" w14:textId="5DA358C5" w:rsidR="00F960DD" w:rsidRDefault="00F960DD" w:rsidP="00FA3299">
      <w:pPr>
        <w:pBdr>
          <w:bottom w:val="single" w:sz="6" w:space="1" w:color="auto"/>
        </w:pBdr>
        <w:spacing w:line="240" w:lineRule="auto"/>
        <w:rPr>
          <w:rFonts w:ascii="Times New Roman" w:hAnsi="Times New Roman"/>
          <w:b/>
        </w:rPr>
      </w:pPr>
    </w:p>
    <w:p w14:paraId="5E915382" w14:textId="083D892F" w:rsidR="00F960DD" w:rsidRDefault="00F960DD" w:rsidP="00FA3299">
      <w:pPr>
        <w:pBdr>
          <w:bottom w:val="single" w:sz="6" w:space="1" w:color="auto"/>
        </w:pBdr>
        <w:spacing w:line="240" w:lineRule="auto"/>
        <w:rPr>
          <w:rFonts w:ascii="Times New Roman" w:hAnsi="Times New Roman"/>
          <w:b/>
        </w:rPr>
      </w:pPr>
    </w:p>
    <w:p w14:paraId="3BC47337" w14:textId="7A84E616" w:rsidR="00F960DD" w:rsidRDefault="00F960DD" w:rsidP="00FA3299">
      <w:pPr>
        <w:pBdr>
          <w:bottom w:val="single" w:sz="6" w:space="1" w:color="auto"/>
        </w:pBdr>
        <w:spacing w:line="240" w:lineRule="auto"/>
        <w:rPr>
          <w:rFonts w:ascii="Times New Roman" w:hAnsi="Times New Roman"/>
          <w:b/>
        </w:rPr>
      </w:pPr>
    </w:p>
    <w:p w14:paraId="577BC36A" w14:textId="4204A93A" w:rsidR="00F960DD" w:rsidRDefault="00F960DD" w:rsidP="00FA3299">
      <w:pPr>
        <w:pBdr>
          <w:bottom w:val="single" w:sz="6" w:space="1" w:color="auto"/>
        </w:pBdr>
        <w:spacing w:line="240" w:lineRule="auto"/>
        <w:rPr>
          <w:rFonts w:ascii="Times New Roman" w:hAnsi="Times New Roman"/>
          <w:b/>
        </w:rPr>
      </w:pPr>
    </w:p>
    <w:p w14:paraId="47DCE93E" w14:textId="00ECBAD5" w:rsidR="00F960DD" w:rsidRDefault="00F960DD" w:rsidP="00FA3299">
      <w:pPr>
        <w:pBdr>
          <w:bottom w:val="single" w:sz="6" w:space="1" w:color="auto"/>
        </w:pBdr>
        <w:spacing w:line="240" w:lineRule="auto"/>
        <w:rPr>
          <w:rFonts w:ascii="Times New Roman" w:hAnsi="Times New Roman"/>
          <w:b/>
        </w:rPr>
      </w:pPr>
    </w:p>
    <w:p w14:paraId="14C81F8D" w14:textId="5C6F111B" w:rsidR="00F960DD" w:rsidRDefault="00F960DD" w:rsidP="00FA3299">
      <w:pPr>
        <w:pBdr>
          <w:bottom w:val="single" w:sz="6" w:space="1" w:color="auto"/>
        </w:pBdr>
        <w:spacing w:line="240" w:lineRule="auto"/>
        <w:rPr>
          <w:rFonts w:ascii="Times New Roman" w:hAnsi="Times New Roman"/>
          <w:b/>
        </w:rPr>
      </w:pPr>
    </w:p>
    <w:p w14:paraId="2BF01695" w14:textId="349F2527" w:rsidR="00F960DD" w:rsidRDefault="00F960DD" w:rsidP="00FA3299">
      <w:pPr>
        <w:pBdr>
          <w:bottom w:val="single" w:sz="6" w:space="1" w:color="auto"/>
        </w:pBdr>
        <w:spacing w:line="240" w:lineRule="auto"/>
        <w:rPr>
          <w:rFonts w:ascii="Times New Roman" w:hAnsi="Times New Roman"/>
          <w:b/>
        </w:rPr>
      </w:pPr>
    </w:p>
    <w:p w14:paraId="58610688" w14:textId="1D44868B" w:rsidR="00F960DD" w:rsidRDefault="00F960DD" w:rsidP="00FA3299">
      <w:pPr>
        <w:pBdr>
          <w:bottom w:val="single" w:sz="6" w:space="1" w:color="auto"/>
        </w:pBdr>
        <w:spacing w:line="240" w:lineRule="auto"/>
        <w:rPr>
          <w:rFonts w:ascii="Times New Roman" w:hAnsi="Times New Roman"/>
          <w:b/>
        </w:rPr>
      </w:pPr>
    </w:p>
    <w:p w14:paraId="68EA54FD" w14:textId="00CB6D98" w:rsidR="00F960DD" w:rsidRDefault="00F960DD" w:rsidP="00FA3299">
      <w:pPr>
        <w:pBdr>
          <w:bottom w:val="single" w:sz="6" w:space="1" w:color="auto"/>
        </w:pBdr>
        <w:spacing w:line="240" w:lineRule="auto"/>
        <w:rPr>
          <w:rFonts w:ascii="Times New Roman" w:hAnsi="Times New Roman"/>
          <w:b/>
        </w:rPr>
      </w:pPr>
    </w:p>
    <w:p w14:paraId="1738011D" w14:textId="77777777" w:rsidR="00F960DD" w:rsidRPr="008372FF" w:rsidRDefault="00F960DD" w:rsidP="00FA3299">
      <w:pPr>
        <w:pBdr>
          <w:bottom w:val="single" w:sz="6" w:space="1" w:color="auto"/>
        </w:pBdr>
        <w:spacing w:line="240" w:lineRule="auto"/>
        <w:rPr>
          <w:rFonts w:ascii="Times New Roman" w:hAnsi="Times New Roman"/>
          <w:b/>
        </w:rPr>
      </w:pPr>
    </w:p>
    <w:p w14:paraId="5F2B1C24" w14:textId="30D1839F" w:rsidR="008372FF" w:rsidRPr="00CE3A56" w:rsidRDefault="00C07AAE" w:rsidP="008372FF">
      <w:pPr>
        <w:spacing w:line="360" w:lineRule="auto"/>
        <w:jc w:val="center"/>
        <w:rPr>
          <w:rFonts w:ascii="Times New Roman" w:hAnsi="Times New Roman"/>
          <w:b/>
          <w:bCs/>
          <w:sz w:val="32"/>
          <w:szCs w:val="32"/>
        </w:rPr>
      </w:pPr>
      <w:r>
        <w:rPr>
          <w:rFonts w:ascii="Times New Roman" w:hAnsi="Times New Roman"/>
          <w:b/>
          <w:bCs/>
          <w:sz w:val="32"/>
          <w:szCs w:val="32"/>
        </w:rPr>
        <w:lastRenderedPageBreak/>
        <w:t xml:space="preserve">EVALUACIÓN DEL </w:t>
      </w:r>
      <w:r w:rsidR="008372FF" w:rsidRPr="008372FF">
        <w:rPr>
          <w:rFonts w:ascii="Times New Roman" w:hAnsi="Times New Roman"/>
          <w:b/>
          <w:bCs/>
          <w:sz w:val="32"/>
          <w:szCs w:val="32"/>
        </w:rPr>
        <w:t xml:space="preserve">IMPACTO DE LA FORMACIÓN EN LA ASISTENCIA ECONÓMICA </w:t>
      </w:r>
      <w:r w:rsidR="005D6C7D">
        <w:rPr>
          <w:rFonts w:ascii="Times New Roman" w:hAnsi="Times New Roman"/>
          <w:b/>
          <w:bCs/>
          <w:sz w:val="32"/>
          <w:szCs w:val="32"/>
        </w:rPr>
        <w:t>Y</w:t>
      </w:r>
      <w:r w:rsidR="008372FF" w:rsidRPr="008372FF">
        <w:rPr>
          <w:rFonts w:ascii="Times New Roman" w:hAnsi="Times New Roman"/>
          <w:b/>
          <w:bCs/>
          <w:sz w:val="32"/>
          <w:szCs w:val="32"/>
        </w:rPr>
        <w:t xml:space="preserve"> SANEAMIENTO DE LAS ENTIDADES LOCALES</w:t>
      </w:r>
    </w:p>
    <w:p w14:paraId="5B54CC36" w14:textId="77777777" w:rsidR="008372FF" w:rsidRPr="00CE3A56" w:rsidRDefault="008372FF" w:rsidP="00FA3299">
      <w:pPr>
        <w:jc w:val="center"/>
        <w:rPr>
          <w:rFonts w:ascii="Times New Roman" w:hAnsi="Times New Roman"/>
          <w:b/>
          <w:sz w:val="32"/>
          <w:szCs w:val="32"/>
        </w:rPr>
      </w:pPr>
    </w:p>
    <w:p w14:paraId="71B5F2A4" w14:textId="5BB0F4B0" w:rsidR="00FA3299" w:rsidRDefault="008372FF" w:rsidP="00FA3299">
      <w:pPr>
        <w:spacing w:line="240" w:lineRule="auto"/>
        <w:jc w:val="right"/>
        <w:rPr>
          <w:rFonts w:ascii="Times New Roman" w:hAnsi="Times New Roman"/>
          <w:b/>
          <w:sz w:val="24"/>
          <w:szCs w:val="24"/>
        </w:rPr>
      </w:pPr>
      <w:r w:rsidRPr="00CE3A56">
        <w:rPr>
          <w:rFonts w:ascii="Times New Roman" w:hAnsi="Times New Roman"/>
          <w:b/>
          <w:sz w:val="24"/>
          <w:szCs w:val="24"/>
        </w:rPr>
        <w:t>Núria Gras Nogués</w:t>
      </w:r>
    </w:p>
    <w:p w14:paraId="2EA7DE61" w14:textId="41C5D54C" w:rsidR="00F960DD" w:rsidRPr="00F960DD" w:rsidRDefault="00F960DD" w:rsidP="00FA3299">
      <w:pPr>
        <w:spacing w:line="240" w:lineRule="auto"/>
        <w:jc w:val="right"/>
        <w:rPr>
          <w:rFonts w:ascii="Times New Roman" w:hAnsi="Times New Roman"/>
          <w:bCs/>
          <w:sz w:val="24"/>
          <w:szCs w:val="24"/>
        </w:rPr>
      </w:pPr>
      <w:r w:rsidRPr="00F960DD">
        <w:rPr>
          <w:rFonts w:ascii="Times New Roman" w:hAnsi="Times New Roman"/>
          <w:bCs/>
          <w:sz w:val="24"/>
          <w:szCs w:val="24"/>
        </w:rPr>
        <w:t>TF: 655 594 964 / ngrasn@dipta.cat</w:t>
      </w:r>
    </w:p>
    <w:p w14:paraId="0B724376" w14:textId="5D948FFC" w:rsidR="00A63478" w:rsidRPr="00C07AAE" w:rsidRDefault="00F960DD" w:rsidP="00FA3299">
      <w:pPr>
        <w:spacing w:line="240" w:lineRule="auto"/>
        <w:jc w:val="right"/>
        <w:rPr>
          <w:rFonts w:ascii="Times New Roman" w:hAnsi="Times New Roman"/>
          <w:b/>
          <w:sz w:val="24"/>
          <w:szCs w:val="24"/>
          <w:lang w:val="en-US"/>
        </w:rPr>
      </w:pPr>
      <w:r w:rsidRPr="00C07AAE">
        <w:rPr>
          <w:rFonts w:ascii="Times New Roman" w:hAnsi="Times New Roman"/>
          <w:b/>
          <w:sz w:val="24"/>
          <w:szCs w:val="24"/>
          <w:lang w:val="en-US"/>
        </w:rPr>
        <w:t>Francesc Cid Grau</w:t>
      </w:r>
    </w:p>
    <w:p w14:paraId="2764AC69" w14:textId="522E48B4" w:rsidR="00F960DD" w:rsidRPr="00C07AAE" w:rsidRDefault="00F960DD" w:rsidP="00FA3299">
      <w:pPr>
        <w:spacing w:line="240" w:lineRule="auto"/>
        <w:jc w:val="right"/>
        <w:rPr>
          <w:rFonts w:ascii="Times New Roman" w:hAnsi="Times New Roman"/>
          <w:bCs/>
          <w:sz w:val="24"/>
          <w:szCs w:val="24"/>
          <w:lang w:val="en-US"/>
        </w:rPr>
      </w:pPr>
      <w:r w:rsidRPr="00C07AAE">
        <w:rPr>
          <w:rFonts w:ascii="Times New Roman" w:hAnsi="Times New Roman"/>
          <w:bCs/>
          <w:sz w:val="24"/>
          <w:szCs w:val="24"/>
          <w:lang w:val="en-US"/>
        </w:rPr>
        <w:t>TF: 609 88 41 45</w:t>
      </w:r>
      <w:r w:rsidR="005244AA" w:rsidRPr="00C07AAE">
        <w:rPr>
          <w:rFonts w:ascii="Times New Roman" w:hAnsi="Times New Roman"/>
          <w:bCs/>
          <w:sz w:val="24"/>
          <w:szCs w:val="24"/>
          <w:lang w:val="en-US"/>
        </w:rPr>
        <w:t xml:space="preserve"> / fcid@dipta.cat</w:t>
      </w:r>
    </w:p>
    <w:p w14:paraId="6C2A7576" w14:textId="79A2B93C" w:rsidR="00FA3299" w:rsidRPr="00CE3A56" w:rsidRDefault="008372FF" w:rsidP="00FA3299">
      <w:pPr>
        <w:spacing w:line="240" w:lineRule="auto"/>
        <w:jc w:val="right"/>
        <w:rPr>
          <w:rFonts w:ascii="Times New Roman" w:hAnsi="Times New Roman"/>
          <w:sz w:val="24"/>
          <w:szCs w:val="24"/>
        </w:rPr>
      </w:pPr>
      <w:r w:rsidRPr="00CE3A56">
        <w:rPr>
          <w:rFonts w:ascii="Times New Roman" w:hAnsi="Times New Roman"/>
          <w:sz w:val="24"/>
          <w:szCs w:val="24"/>
        </w:rPr>
        <w:t>Diputació de Tarragona / España</w:t>
      </w:r>
    </w:p>
    <w:p w14:paraId="33E921AF" w14:textId="77777777" w:rsidR="00FA3299" w:rsidRPr="00CE3A56" w:rsidRDefault="00FA3299" w:rsidP="00FA3299">
      <w:pPr>
        <w:spacing w:line="240" w:lineRule="auto"/>
        <w:jc w:val="both"/>
        <w:rPr>
          <w:rFonts w:ascii="Times New Roman" w:hAnsi="Times New Roman"/>
          <w:b/>
          <w:i/>
          <w:sz w:val="26"/>
          <w:szCs w:val="26"/>
        </w:rPr>
      </w:pPr>
    </w:p>
    <w:p w14:paraId="11BE0D1F" w14:textId="56EEA062" w:rsidR="00FA3299" w:rsidRPr="00CE3A56" w:rsidRDefault="00FA3299" w:rsidP="00FA3299">
      <w:pPr>
        <w:spacing w:line="240" w:lineRule="auto"/>
        <w:jc w:val="both"/>
        <w:rPr>
          <w:rFonts w:ascii="Times New Roman" w:hAnsi="Times New Roman"/>
          <w:b/>
          <w:sz w:val="26"/>
          <w:szCs w:val="26"/>
        </w:rPr>
      </w:pPr>
      <w:r w:rsidRPr="00CE3A56">
        <w:rPr>
          <w:rFonts w:ascii="Times New Roman" w:hAnsi="Times New Roman"/>
          <w:b/>
          <w:i/>
          <w:sz w:val="26"/>
          <w:szCs w:val="26"/>
        </w:rPr>
        <w:t>Resumen</w:t>
      </w:r>
    </w:p>
    <w:p w14:paraId="195E16C2" w14:textId="755FAC4E" w:rsidR="000C1D4D" w:rsidRPr="00CE3A56" w:rsidRDefault="000C1D4D" w:rsidP="00C37EC0">
      <w:pPr>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El objeto de esta investigación es </w:t>
      </w:r>
      <w:r w:rsidR="00016AB9" w:rsidRPr="00CE3A56">
        <w:rPr>
          <w:rFonts w:ascii="Times New Roman" w:hAnsi="Times New Roman"/>
          <w:sz w:val="24"/>
          <w:szCs w:val="24"/>
        </w:rPr>
        <w:t>replantearse</w:t>
      </w:r>
      <w:r w:rsidRPr="00CE3A56">
        <w:rPr>
          <w:rFonts w:ascii="Times New Roman" w:hAnsi="Times New Roman"/>
          <w:sz w:val="24"/>
          <w:szCs w:val="24"/>
        </w:rPr>
        <w:t xml:space="preserve"> el enfoque del servicio de asesoramiento que prestan las Diputaciones a las entidades locales de su provincia</w:t>
      </w:r>
      <w:r w:rsidR="00016AB9" w:rsidRPr="00CE3A56">
        <w:rPr>
          <w:rFonts w:ascii="Times New Roman" w:hAnsi="Times New Roman"/>
          <w:sz w:val="24"/>
          <w:szCs w:val="24"/>
        </w:rPr>
        <w:t xml:space="preserve"> especialmente a aquellas de menor capacidad económica y técnica.</w:t>
      </w:r>
      <w:r w:rsidRPr="00CE3A56">
        <w:rPr>
          <w:rFonts w:ascii="Times New Roman" w:hAnsi="Times New Roman"/>
          <w:sz w:val="24"/>
          <w:szCs w:val="24"/>
        </w:rPr>
        <w:t xml:space="preserve"> </w:t>
      </w:r>
    </w:p>
    <w:p w14:paraId="7020EAE9" w14:textId="2539116C" w:rsidR="00CD1C75" w:rsidRPr="00CE3A56" w:rsidRDefault="00CD1C75" w:rsidP="00C37EC0">
      <w:pPr>
        <w:spacing w:line="240" w:lineRule="auto"/>
        <w:ind w:firstLine="284"/>
        <w:jc w:val="both"/>
        <w:rPr>
          <w:rFonts w:ascii="Times New Roman" w:hAnsi="Times New Roman"/>
          <w:sz w:val="24"/>
          <w:szCs w:val="24"/>
        </w:rPr>
      </w:pPr>
      <w:r w:rsidRPr="00CE3A56">
        <w:rPr>
          <w:rFonts w:ascii="Times New Roman" w:hAnsi="Times New Roman"/>
          <w:sz w:val="24"/>
          <w:szCs w:val="24"/>
        </w:rPr>
        <w:t>La presente investigación</w:t>
      </w:r>
      <w:r w:rsidR="00597928" w:rsidRPr="00CE3A56">
        <w:rPr>
          <w:rFonts w:ascii="Times New Roman" w:hAnsi="Times New Roman"/>
          <w:sz w:val="24"/>
          <w:szCs w:val="24"/>
        </w:rPr>
        <w:t xml:space="preserve"> </w:t>
      </w:r>
      <w:r w:rsidRPr="00CE3A56">
        <w:rPr>
          <w:rFonts w:ascii="Times New Roman" w:hAnsi="Times New Roman"/>
          <w:sz w:val="24"/>
          <w:szCs w:val="24"/>
        </w:rPr>
        <w:t>se centra en contrastar las siguientes hipótesis:</w:t>
      </w:r>
    </w:p>
    <w:p w14:paraId="04C570A5" w14:textId="6838B864" w:rsidR="00705544" w:rsidRPr="00CE3A56" w:rsidRDefault="00CD1C75" w:rsidP="00C37EC0">
      <w:pPr>
        <w:spacing w:line="240" w:lineRule="auto"/>
        <w:ind w:firstLine="284"/>
        <w:jc w:val="both"/>
        <w:rPr>
          <w:rFonts w:ascii="Times New Roman" w:hAnsi="Times New Roman"/>
          <w:sz w:val="24"/>
          <w:szCs w:val="24"/>
        </w:rPr>
      </w:pPr>
      <w:r w:rsidRPr="00CE3A56">
        <w:rPr>
          <w:rFonts w:ascii="Times New Roman" w:hAnsi="Times New Roman"/>
          <w:sz w:val="24"/>
          <w:szCs w:val="24"/>
        </w:rPr>
        <w:t>- la formación</w:t>
      </w:r>
      <w:r w:rsidR="00705544" w:rsidRPr="00CE3A56">
        <w:rPr>
          <w:rFonts w:ascii="Times New Roman" w:hAnsi="Times New Roman"/>
          <w:sz w:val="24"/>
          <w:szCs w:val="24"/>
        </w:rPr>
        <w:t xml:space="preserve"> recibida por parte</w:t>
      </w:r>
      <w:r w:rsidRPr="00CE3A56">
        <w:rPr>
          <w:rFonts w:ascii="Times New Roman" w:hAnsi="Times New Roman"/>
          <w:sz w:val="24"/>
          <w:szCs w:val="24"/>
        </w:rPr>
        <w:t xml:space="preserve"> del personal de las entidades locales</w:t>
      </w:r>
      <w:r w:rsidR="00705544" w:rsidRPr="00CE3A56">
        <w:rPr>
          <w:rFonts w:ascii="Times New Roman" w:hAnsi="Times New Roman"/>
          <w:sz w:val="24"/>
          <w:szCs w:val="24"/>
        </w:rPr>
        <w:t xml:space="preserve"> afecta positivamente a su grado de solvencia</w:t>
      </w:r>
    </w:p>
    <w:p w14:paraId="0DEDD9DB" w14:textId="1CAC6B26" w:rsidR="00C37EC0" w:rsidRPr="00CE3A56" w:rsidRDefault="00705544" w:rsidP="00C37EC0">
      <w:pPr>
        <w:spacing w:line="240" w:lineRule="auto"/>
        <w:ind w:firstLine="284"/>
        <w:jc w:val="both"/>
        <w:rPr>
          <w:rFonts w:ascii="Times New Roman" w:hAnsi="Times New Roman"/>
          <w:sz w:val="24"/>
          <w:szCs w:val="24"/>
        </w:rPr>
      </w:pPr>
      <w:r w:rsidRPr="00CE3A56">
        <w:rPr>
          <w:rFonts w:ascii="Times New Roman" w:hAnsi="Times New Roman"/>
          <w:sz w:val="24"/>
          <w:szCs w:val="24"/>
        </w:rPr>
        <w:t>- la formación recibida por parte del personal de las entidades locales reduce el esfuerzo que tiene que realizar el personal de la Unidad de Soporte Económico para asesorarlos</w:t>
      </w:r>
      <w:r w:rsidR="00F26E27" w:rsidRPr="00CE3A56">
        <w:rPr>
          <w:rFonts w:ascii="Times New Roman" w:hAnsi="Times New Roman"/>
          <w:sz w:val="24"/>
          <w:szCs w:val="24"/>
        </w:rPr>
        <w:t>.</w:t>
      </w:r>
    </w:p>
    <w:p w14:paraId="06B0F545" w14:textId="5FB5D610" w:rsidR="008A7106" w:rsidRPr="00CE3A56" w:rsidRDefault="008A7106" w:rsidP="00C37EC0">
      <w:pPr>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Para </w:t>
      </w:r>
      <w:r w:rsidR="00705544" w:rsidRPr="00CE3A56">
        <w:rPr>
          <w:rFonts w:ascii="Times New Roman" w:hAnsi="Times New Roman"/>
          <w:sz w:val="24"/>
          <w:szCs w:val="24"/>
        </w:rPr>
        <w:t>contrarrestar las hipótesis</w:t>
      </w:r>
      <w:r w:rsidRPr="00CE3A56">
        <w:rPr>
          <w:rFonts w:ascii="Times New Roman" w:hAnsi="Times New Roman"/>
          <w:sz w:val="24"/>
          <w:szCs w:val="24"/>
        </w:rPr>
        <w:t xml:space="preserve"> </w:t>
      </w:r>
      <w:r w:rsidR="00CD1C75" w:rsidRPr="00CE3A56">
        <w:rPr>
          <w:rFonts w:ascii="Times New Roman" w:hAnsi="Times New Roman"/>
          <w:sz w:val="24"/>
          <w:szCs w:val="24"/>
        </w:rPr>
        <w:t xml:space="preserve">se ha creado un modelo en el cuál </w:t>
      </w:r>
      <w:r w:rsidRPr="00CE3A56">
        <w:rPr>
          <w:rFonts w:ascii="Times New Roman" w:hAnsi="Times New Roman"/>
          <w:sz w:val="24"/>
          <w:szCs w:val="24"/>
        </w:rPr>
        <w:t>se ha</w:t>
      </w:r>
      <w:r w:rsidR="00CD1C75" w:rsidRPr="00CE3A56">
        <w:rPr>
          <w:rFonts w:ascii="Times New Roman" w:hAnsi="Times New Roman"/>
          <w:sz w:val="24"/>
          <w:szCs w:val="24"/>
        </w:rPr>
        <w:t>n</w:t>
      </w:r>
      <w:r w:rsidRPr="00CE3A56">
        <w:rPr>
          <w:rFonts w:ascii="Times New Roman" w:hAnsi="Times New Roman"/>
          <w:sz w:val="24"/>
          <w:szCs w:val="24"/>
        </w:rPr>
        <w:t xml:space="preserve"> definido</w:t>
      </w:r>
      <w:r w:rsidR="00CD1C75" w:rsidRPr="00CE3A56">
        <w:rPr>
          <w:rFonts w:ascii="Times New Roman" w:hAnsi="Times New Roman"/>
          <w:sz w:val="24"/>
          <w:szCs w:val="24"/>
        </w:rPr>
        <w:t xml:space="preserve"> unos indicadores </w:t>
      </w:r>
      <w:r w:rsidR="00705544" w:rsidRPr="00CE3A56">
        <w:rPr>
          <w:rFonts w:ascii="Times New Roman" w:hAnsi="Times New Roman"/>
          <w:sz w:val="24"/>
          <w:szCs w:val="24"/>
        </w:rPr>
        <w:t>que</w:t>
      </w:r>
      <w:r w:rsidR="00CD1C75" w:rsidRPr="00CE3A56">
        <w:rPr>
          <w:rFonts w:ascii="Times New Roman" w:hAnsi="Times New Roman"/>
          <w:sz w:val="24"/>
          <w:szCs w:val="24"/>
        </w:rPr>
        <w:t xml:space="preserve"> han servido de base para</w:t>
      </w:r>
      <w:r w:rsidRPr="00CE3A56">
        <w:rPr>
          <w:rFonts w:ascii="Times New Roman" w:hAnsi="Times New Roman"/>
          <w:sz w:val="24"/>
          <w:szCs w:val="24"/>
        </w:rPr>
        <w:t xml:space="preserve"> la creación de dos índices: el índice de esfuerzo del personal de la Unidad de Soporte Económico y el índice de saneamiento de las entidades locales.</w:t>
      </w:r>
    </w:p>
    <w:p w14:paraId="72BB7A68" w14:textId="77777777" w:rsidR="00F26E27" w:rsidRPr="00CE3A56" w:rsidRDefault="008A7106" w:rsidP="00C37EC0">
      <w:pPr>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Seguidamente, </w:t>
      </w:r>
      <w:r w:rsidR="00CD1C75" w:rsidRPr="00CE3A56">
        <w:rPr>
          <w:rFonts w:ascii="Times New Roman" w:hAnsi="Times New Roman"/>
          <w:sz w:val="24"/>
          <w:szCs w:val="24"/>
        </w:rPr>
        <w:t xml:space="preserve">utilizando matrices de correlación lineal, </w:t>
      </w:r>
      <w:r w:rsidRPr="00CE3A56">
        <w:rPr>
          <w:rFonts w:ascii="Times New Roman" w:hAnsi="Times New Roman"/>
          <w:sz w:val="24"/>
          <w:szCs w:val="24"/>
        </w:rPr>
        <w:t>se han analizado estos índices junto con los datos relativos a la formación que realiza el personal de las entidades locales.</w:t>
      </w:r>
    </w:p>
    <w:p w14:paraId="45CE7C19" w14:textId="3BC396E9" w:rsidR="008A7106" w:rsidRPr="00CE3A56" w:rsidRDefault="00CD1C75" w:rsidP="00C37EC0">
      <w:pPr>
        <w:spacing w:line="240" w:lineRule="auto"/>
        <w:ind w:firstLine="284"/>
        <w:jc w:val="both"/>
        <w:rPr>
          <w:rFonts w:ascii="Times New Roman" w:hAnsi="Times New Roman"/>
          <w:sz w:val="24"/>
          <w:szCs w:val="24"/>
        </w:rPr>
      </w:pPr>
      <w:r w:rsidRPr="00CE3A56">
        <w:rPr>
          <w:rFonts w:ascii="Times New Roman" w:hAnsi="Times New Roman"/>
          <w:sz w:val="24"/>
          <w:szCs w:val="24"/>
        </w:rPr>
        <w:t>Los resultados obtenidos nos llevan a verificar las</w:t>
      </w:r>
      <w:r w:rsidR="008A7106" w:rsidRPr="00CE3A56">
        <w:rPr>
          <w:rFonts w:ascii="Times New Roman" w:hAnsi="Times New Roman"/>
          <w:sz w:val="24"/>
          <w:szCs w:val="24"/>
        </w:rPr>
        <w:t xml:space="preserve"> hipótesis </w:t>
      </w:r>
      <w:r w:rsidRPr="00CE3A56">
        <w:rPr>
          <w:rFonts w:ascii="Times New Roman" w:hAnsi="Times New Roman"/>
          <w:sz w:val="24"/>
          <w:szCs w:val="24"/>
        </w:rPr>
        <w:t>planteadas</w:t>
      </w:r>
      <w:r w:rsidR="008A7106" w:rsidRPr="00CE3A56">
        <w:rPr>
          <w:rFonts w:ascii="Times New Roman" w:hAnsi="Times New Roman"/>
          <w:sz w:val="24"/>
          <w:szCs w:val="24"/>
        </w:rPr>
        <w:t xml:space="preserve">, en el sentido que a más formación recibida por los empleados públicos más saneadas están </w:t>
      </w:r>
      <w:r w:rsidRPr="00CE3A56">
        <w:rPr>
          <w:rFonts w:ascii="Times New Roman" w:hAnsi="Times New Roman"/>
          <w:sz w:val="24"/>
          <w:szCs w:val="24"/>
        </w:rPr>
        <w:t>las</w:t>
      </w:r>
      <w:r w:rsidR="008A7106" w:rsidRPr="00CE3A56">
        <w:rPr>
          <w:rFonts w:ascii="Times New Roman" w:hAnsi="Times New Roman"/>
          <w:sz w:val="24"/>
          <w:szCs w:val="24"/>
        </w:rPr>
        <w:t xml:space="preserve"> entidades locales</w:t>
      </w:r>
      <w:r w:rsidRPr="00CE3A56">
        <w:rPr>
          <w:rFonts w:ascii="Times New Roman" w:hAnsi="Times New Roman"/>
          <w:sz w:val="24"/>
          <w:szCs w:val="24"/>
        </w:rPr>
        <w:t xml:space="preserve"> a las cuáles </w:t>
      </w:r>
      <w:r w:rsidR="00597928" w:rsidRPr="00CE3A56">
        <w:rPr>
          <w:rFonts w:ascii="Times New Roman" w:hAnsi="Times New Roman"/>
          <w:sz w:val="24"/>
          <w:szCs w:val="24"/>
        </w:rPr>
        <w:t>prestan</w:t>
      </w:r>
      <w:r w:rsidRPr="00CE3A56">
        <w:rPr>
          <w:rFonts w:ascii="Times New Roman" w:hAnsi="Times New Roman"/>
          <w:sz w:val="24"/>
          <w:szCs w:val="24"/>
        </w:rPr>
        <w:t xml:space="preserve"> sus servicios</w:t>
      </w:r>
      <w:r w:rsidR="008A7106" w:rsidRPr="00CE3A56">
        <w:rPr>
          <w:rFonts w:ascii="Times New Roman" w:hAnsi="Times New Roman"/>
          <w:sz w:val="24"/>
          <w:szCs w:val="24"/>
        </w:rPr>
        <w:t xml:space="preserve"> y además, menos esfuerzo tiene que hacer el personal de la Unidad de Soporte Económico para asesorarlos.</w:t>
      </w:r>
    </w:p>
    <w:p w14:paraId="71FE6C23" w14:textId="14AF85F2" w:rsidR="008A7106" w:rsidRPr="00CE3A56" w:rsidRDefault="00597928" w:rsidP="00C37EC0">
      <w:pPr>
        <w:spacing w:line="240" w:lineRule="auto"/>
        <w:ind w:firstLine="284"/>
        <w:jc w:val="both"/>
        <w:rPr>
          <w:rFonts w:ascii="Times New Roman" w:hAnsi="Times New Roman"/>
          <w:sz w:val="24"/>
          <w:szCs w:val="24"/>
        </w:rPr>
      </w:pPr>
      <w:r w:rsidRPr="00CE3A56">
        <w:rPr>
          <w:rFonts w:ascii="Times New Roman" w:hAnsi="Times New Roman"/>
          <w:sz w:val="24"/>
          <w:szCs w:val="24"/>
        </w:rPr>
        <w:t>L</w:t>
      </w:r>
      <w:r w:rsidR="008A7106" w:rsidRPr="00CE3A56">
        <w:rPr>
          <w:rFonts w:ascii="Times New Roman" w:hAnsi="Times New Roman"/>
          <w:sz w:val="24"/>
          <w:szCs w:val="24"/>
        </w:rPr>
        <w:t xml:space="preserve">a principal conclusión del modelo es que </w:t>
      </w:r>
      <w:r w:rsidR="00CD1C75" w:rsidRPr="00CE3A56">
        <w:rPr>
          <w:rFonts w:ascii="Times New Roman" w:hAnsi="Times New Roman"/>
          <w:sz w:val="24"/>
          <w:szCs w:val="24"/>
        </w:rPr>
        <w:t xml:space="preserve">los servicios de </w:t>
      </w:r>
      <w:r w:rsidR="00E70064" w:rsidRPr="00CE3A56">
        <w:rPr>
          <w:rFonts w:ascii="Times New Roman" w:hAnsi="Times New Roman"/>
          <w:sz w:val="24"/>
          <w:szCs w:val="24"/>
        </w:rPr>
        <w:t>asistencia</w:t>
      </w:r>
      <w:r w:rsidR="00CD1C75" w:rsidRPr="00CE3A56">
        <w:rPr>
          <w:rFonts w:ascii="Times New Roman" w:hAnsi="Times New Roman"/>
          <w:sz w:val="24"/>
          <w:szCs w:val="24"/>
        </w:rPr>
        <w:t xml:space="preserve"> a los municipios de las Diputaciones tienen que centrar sus funciones en la transferencia de conocimiento en lugar de realizar directamente las tareas a las entidades locales.</w:t>
      </w:r>
    </w:p>
    <w:p w14:paraId="233A7D5F" w14:textId="77777777" w:rsidR="00CD1C75" w:rsidRPr="00CE3A56" w:rsidRDefault="00CD1C75" w:rsidP="008A7106">
      <w:pPr>
        <w:spacing w:after="0" w:line="240" w:lineRule="auto"/>
        <w:jc w:val="both"/>
        <w:rPr>
          <w:rFonts w:ascii="Times New Roman" w:hAnsi="Times New Roman"/>
          <w:sz w:val="24"/>
          <w:szCs w:val="24"/>
        </w:rPr>
      </w:pPr>
    </w:p>
    <w:p w14:paraId="73297EE9" w14:textId="77777777" w:rsidR="002B7CA3" w:rsidRPr="00CE3A56" w:rsidRDefault="002B7CA3">
      <w:pPr>
        <w:rPr>
          <w:rFonts w:ascii="Times New Roman" w:hAnsi="Times New Roman"/>
          <w:sz w:val="24"/>
          <w:szCs w:val="24"/>
        </w:rPr>
      </w:pPr>
      <w:r w:rsidRPr="00CE3A56">
        <w:rPr>
          <w:rFonts w:ascii="Times New Roman" w:hAnsi="Times New Roman"/>
          <w:sz w:val="24"/>
          <w:szCs w:val="24"/>
        </w:rPr>
        <w:br w:type="page"/>
      </w:r>
    </w:p>
    <w:p w14:paraId="2C39BBCD" w14:textId="77777777" w:rsidR="003A1870" w:rsidRPr="00CE3A56" w:rsidRDefault="003A1870" w:rsidP="003A1870">
      <w:pPr>
        <w:spacing w:line="240" w:lineRule="auto"/>
        <w:jc w:val="right"/>
        <w:rPr>
          <w:rFonts w:ascii="Times New Roman" w:hAnsi="Times New Roman"/>
          <w:sz w:val="24"/>
          <w:szCs w:val="24"/>
        </w:rPr>
      </w:pPr>
    </w:p>
    <w:p w14:paraId="3DE6838F" w14:textId="77777777" w:rsidR="009C0B9E" w:rsidRPr="00CE3A56" w:rsidRDefault="009C0B9E" w:rsidP="003A1870">
      <w:pPr>
        <w:spacing w:line="240" w:lineRule="auto"/>
        <w:jc w:val="right"/>
        <w:rPr>
          <w:rFonts w:ascii="Times New Roman" w:hAnsi="Times New Roman"/>
          <w:sz w:val="24"/>
          <w:szCs w:val="24"/>
        </w:rPr>
      </w:pPr>
    </w:p>
    <w:p w14:paraId="4F51E7DB" w14:textId="4AA49F29" w:rsidR="003A1870" w:rsidRPr="00CE3A56" w:rsidRDefault="00423E1C" w:rsidP="00423E1C">
      <w:pPr>
        <w:spacing w:line="240" w:lineRule="auto"/>
        <w:jc w:val="both"/>
        <w:rPr>
          <w:rFonts w:ascii="Times New Roman" w:hAnsi="Times New Roman"/>
          <w:b/>
          <w:sz w:val="26"/>
          <w:szCs w:val="26"/>
        </w:rPr>
      </w:pPr>
      <w:r w:rsidRPr="00CE3A56">
        <w:rPr>
          <w:rFonts w:ascii="Times New Roman" w:hAnsi="Times New Roman"/>
          <w:b/>
          <w:i/>
          <w:sz w:val="26"/>
          <w:szCs w:val="26"/>
        </w:rPr>
        <w:t xml:space="preserve">1.1. </w:t>
      </w:r>
      <w:r w:rsidR="001B796B" w:rsidRPr="00CE3A56">
        <w:rPr>
          <w:rFonts w:ascii="Times New Roman" w:hAnsi="Times New Roman"/>
          <w:b/>
          <w:i/>
          <w:sz w:val="26"/>
          <w:szCs w:val="26"/>
        </w:rPr>
        <w:t>Introducción</w:t>
      </w:r>
      <w:r w:rsidR="003A1870" w:rsidRPr="00CE3A56">
        <w:rPr>
          <w:rFonts w:ascii="Times New Roman" w:hAnsi="Times New Roman"/>
          <w:b/>
          <w:i/>
          <w:sz w:val="26"/>
          <w:szCs w:val="26"/>
        </w:rPr>
        <w:t xml:space="preserve"> </w:t>
      </w:r>
    </w:p>
    <w:p w14:paraId="40253FB1" w14:textId="47174855" w:rsidR="008372FF" w:rsidRPr="00CE3A56" w:rsidRDefault="008372FF" w:rsidP="00C37EC0">
      <w:pPr>
        <w:pStyle w:val="NormalWeb"/>
        <w:spacing w:after="200" w:afterAutospacing="0"/>
        <w:ind w:firstLine="284"/>
        <w:jc w:val="both"/>
        <w:rPr>
          <w:rFonts w:eastAsiaTheme="minorHAnsi"/>
          <w:lang w:eastAsia="en-US"/>
        </w:rPr>
      </w:pPr>
      <w:r w:rsidRPr="00CE3A56">
        <w:rPr>
          <w:rFonts w:eastAsiaTheme="minorHAnsi"/>
          <w:lang w:eastAsia="en-US"/>
        </w:rPr>
        <w:t xml:space="preserve">La Diputación de Tarragona es una administración local que tiene encomendadas </w:t>
      </w:r>
      <w:r w:rsidR="00D8607F" w:rsidRPr="00CE3A56">
        <w:rPr>
          <w:rFonts w:eastAsiaTheme="minorHAnsi"/>
          <w:lang w:eastAsia="en-US"/>
        </w:rPr>
        <w:t>l</w:t>
      </w:r>
      <w:r w:rsidRPr="00CE3A56">
        <w:rPr>
          <w:rFonts w:eastAsiaTheme="minorHAnsi"/>
          <w:lang w:eastAsia="en-US"/>
        </w:rPr>
        <w:t xml:space="preserve">as funciones de </w:t>
      </w:r>
      <w:r w:rsidR="00C0664E" w:rsidRPr="00CE3A56">
        <w:rPr>
          <w:rFonts w:eastAsiaTheme="minorHAnsi"/>
          <w:lang w:eastAsia="en-US"/>
        </w:rPr>
        <w:t xml:space="preserve">asistencia y </w:t>
      </w:r>
      <w:r w:rsidR="00B87211" w:rsidRPr="00CE3A56">
        <w:rPr>
          <w:rFonts w:eastAsiaTheme="minorHAnsi"/>
          <w:lang w:eastAsia="en-US"/>
        </w:rPr>
        <w:t>cooperación</w:t>
      </w:r>
      <w:r w:rsidR="00C0664E" w:rsidRPr="00CE3A56">
        <w:rPr>
          <w:rFonts w:eastAsiaTheme="minorHAnsi"/>
          <w:lang w:eastAsia="en-US"/>
        </w:rPr>
        <w:t xml:space="preserve"> jurídica, económica y técnica en las obras y </w:t>
      </w:r>
      <w:r w:rsidR="00B87211" w:rsidRPr="00CE3A56">
        <w:rPr>
          <w:rFonts w:eastAsiaTheme="minorHAnsi"/>
          <w:lang w:eastAsia="en-US"/>
        </w:rPr>
        <w:t>servicios</w:t>
      </w:r>
      <w:r w:rsidR="00C0664E" w:rsidRPr="00CE3A56">
        <w:rPr>
          <w:rFonts w:eastAsiaTheme="minorHAnsi"/>
          <w:lang w:eastAsia="en-US"/>
        </w:rPr>
        <w:t xml:space="preserve"> municipales</w:t>
      </w:r>
      <w:r w:rsidRPr="00CE3A56">
        <w:rPr>
          <w:rFonts w:eastAsiaTheme="minorHAnsi"/>
          <w:lang w:eastAsia="en-US"/>
        </w:rPr>
        <w:t>. Esta</w:t>
      </w:r>
      <w:r w:rsidR="003611F5" w:rsidRPr="00CE3A56">
        <w:rPr>
          <w:rFonts w:eastAsiaTheme="minorHAnsi"/>
          <w:lang w:eastAsia="en-US"/>
        </w:rPr>
        <w:t>s</w:t>
      </w:r>
      <w:r w:rsidRPr="00CE3A56">
        <w:rPr>
          <w:rFonts w:eastAsiaTheme="minorHAnsi"/>
          <w:lang w:eastAsia="en-US"/>
        </w:rPr>
        <w:t xml:space="preserve"> funciones </w:t>
      </w:r>
      <w:r w:rsidR="00B87211" w:rsidRPr="00CE3A56">
        <w:rPr>
          <w:rFonts w:eastAsiaTheme="minorHAnsi"/>
          <w:lang w:eastAsia="en-US"/>
        </w:rPr>
        <w:t>están</w:t>
      </w:r>
      <w:r w:rsidRPr="00CE3A56">
        <w:rPr>
          <w:rFonts w:eastAsiaTheme="minorHAnsi"/>
          <w:lang w:eastAsia="en-US"/>
        </w:rPr>
        <w:t xml:space="preserve"> dirigidas a contribuir a que</w:t>
      </w:r>
      <w:r w:rsidR="00A7410F" w:rsidRPr="00CE3A56">
        <w:rPr>
          <w:rFonts w:eastAsiaTheme="minorHAnsi"/>
          <w:lang w:eastAsia="en-US"/>
        </w:rPr>
        <w:t>,</w:t>
      </w:r>
      <w:r w:rsidRPr="00CE3A56">
        <w:rPr>
          <w:rFonts w:eastAsiaTheme="minorHAnsi"/>
          <w:lang w:eastAsia="en-US"/>
        </w:rPr>
        <w:t xml:space="preserve"> </w:t>
      </w:r>
      <w:r w:rsidR="003611F5" w:rsidRPr="00CE3A56">
        <w:rPr>
          <w:rFonts w:eastAsiaTheme="minorHAnsi"/>
          <w:lang w:eastAsia="en-US"/>
        </w:rPr>
        <w:t>especialmente</w:t>
      </w:r>
      <w:r w:rsidRPr="00CE3A56">
        <w:rPr>
          <w:rFonts w:eastAsiaTheme="minorHAnsi"/>
          <w:lang w:eastAsia="en-US"/>
        </w:rPr>
        <w:t xml:space="preserve"> l</w:t>
      </w:r>
      <w:r w:rsidR="00D8607F" w:rsidRPr="00CE3A56">
        <w:rPr>
          <w:rFonts w:eastAsiaTheme="minorHAnsi"/>
          <w:lang w:eastAsia="en-US"/>
        </w:rPr>
        <w:t>a</w:t>
      </w:r>
      <w:r w:rsidRPr="00CE3A56">
        <w:rPr>
          <w:rFonts w:eastAsiaTheme="minorHAnsi"/>
          <w:lang w:eastAsia="en-US"/>
        </w:rPr>
        <w:t xml:space="preserve">s </w:t>
      </w:r>
      <w:r w:rsidR="00A25FFA">
        <w:rPr>
          <w:rFonts w:eastAsiaTheme="minorHAnsi"/>
          <w:lang w:eastAsia="en-US"/>
        </w:rPr>
        <w:t xml:space="preserve">entidades locales </w:t>
      </w:r>
      <w:r w:rsidRPr="00CE3A56">
        <w:rPr>
          <w:rFonts w:eastAsiaTheme="minorHAnsi"/>
          <w:lang w:eastAsia="en-US"/>
        </w:rPr>
        <w:t>de meno</w:t>
      </w:r>
      <w:r w:rsidR="00D8607F" w:rsidRPr="00CE3A56">
        <w:rPr>
          <w:rFonts w:eastAsiaTheme="minorHAnsi"/>
          <w:lang w:eastAsia="en-US"/>
        </w:rPr>
        <w:t>r</w:t>
      </w:r>
      <w:r w:rsidRPr="00CE3A56">
        <w:rPr>
          <w:rFonts w:eastAsiaTheme="minorHAnsi"/>
          <w:lang w:eastAsia="en-US"/>
        </w:rPr>
        <w:t xml:space="preserve"> capacid</w:t>
      </w:r>
      <w:r w:rsidR="00C0664E" w:rsidRPr="00CE3A56">
        <w:rPr>
          <w:rFonts w:eastAsiaTheme="minorHAnsi"/>
          <w:lang w:eastAsia="en-US"/>
        </w:rPr>
        <w:t>a</w:t>
      </w:r>
      <w:r w:rsidRPr="00CE3A56">
        <w:rPr>
          <w:rFonts w:eastAsiaTheme="minorHAnsi"/>
          <w:lang w:eastAsia="en-US"/>
        </w:rPr>
        <w:t xml:space="preserve">d económica y </w:t>
      </w:r>
      <w:r w:rsidR="00C0664E" w:rsidRPr="00CE3A56">
        <w:rPr>
          <w:rFonts w:eastAsiaTheme="minorHAnsi"/>
          <w:lang w:eastAsia="en-US"/>
        </w:rPr>
        <w:t>técnica</w:t>
      </w:r>
      <w:r w:rsidRPr="00CE3A56">
        <w:rPr>
          <w:rFonts w:eastAsiaTheme="minorHAnsi"/>
          <w:lang w:eastAsia="en-US"/>
        </w:rPr>
        <w:t>, desarrollen sus responsabilidades de forma efectiva</w:t>
      </w:r>
      <w:r w:rsidR="003611F5" w:rsidRPr="00CE3A56">
        <w:rPr>
          <w:rFonts w:eastAsiaTheme="minorHAnsi"/>
          <w:lang w:eastAsia="en-US"/>
        </w:rPr>
        <w:t>.</w:t>
      </w:r>
    </w:p>
    <w:p w14:paraId="2D9856CE" w14:textId="15AE6929" w:rsidR="008372FF" w:rsidRPr="00CE3A56" w:rsidRDefault="008372FF" w:rsidP="00C37EC0">
      <w:pPr>
        <w:pStyle w:val="NormalWeb"/>
        <w:spacing w:after="200" w:afterAutospacing="0"/>
        <w:ind w:firstLine="284"/>
        <w:jc w:val="both"/>
        <w:rPr>
          <w:rFonts w:eastAsiaTheme="minorHAnsi"/>
          <w:lang w:eastAsia="en-US"/>
        </w:rPr>
      </w:pPr>
      <w:r w:rsidRPr="00CE3A56">
        <w:rPr>
          <w:rFonts w:eastAsiaTheme="minorHAnsi"/>
          <w:lang w:eastAsia="en-US"/>
        </w:rPr>
        <w:t>La existencia de un gran número de municipios de pequeñas dimensiones y poca población, con falta de estructuras administrativas y con escasos medios materiales y personales</w:t>
      </w:r>
      <w:r w:rsidR="004963EF" w:rsidRPr="00CE3A56">
        <w:rPr>
          <w:rFonts w:eastAsiaTheme="minorHAnsi"/>
          <w:lang w:eastAsia="en-US"/>
        </w:rPr>
        <w:t xml:space="preserve"> hace</w:t>
      </w:r>
      <w:r w:rsidRPr="00CE3A56">
        <w:rPr>
          <w:rFonts w:eastAsiaTheme="minorHAnsi"/>
          <w:lang w:eastAsia="en-US"/>
        </w:rPr>
        <w:t xml:space="preserve"> que la asistencia </w:t>
      </w:r>
      <w:r w:rsidR="00A25FFA">
        <w:rPr>
          <w:rFonts w:eastAsiaTheme="minorHAnsi"/>
          <w:lang w:eastAsia="en-US"/>
        </w:rPr>
        <w:t>de</w:t>
      </w:r>
      <w:r w:rsidRPr="00CE3A56">
        <w:rPr>
          <w:rFonts w:eastAsiaTheme="minorHAnsi"/>
          <w:lang w:eastAsia="en-US"/>
        </w:rPr>
        <w:t xml:space="preserve"> las diputaciones sea clave e indispensable en el desarrollo</w:t>
      </w:r>
      <w:r w:rsidR="00C0664E" w:rsidRPr="00CE3A56">
        <w:rPr>
          <w:rFonts w:eastAsiaTheme="minorHAnsi"/>
          <w:lang w:eastAsia="en-US"/>
        </w:rPr>
        <w:t xml:space="preserve"> y modernización</w:t>
      </w:r>
      <w:r w:rsidRPr="00CE3A56">
        <w:rPr>
          <w:rFonts w:eastAsiaTheme="minorHAnsi"/>
          <w:lang w:eastAsia="en-US"/>
        </w:rPr>
        <w:t xml:space="preserve"> del territorio</w:t>
      </w:r>
      <w:r w:rsidR="00A7410F" w:rsidRPr="00CE3A56">
        <w:rPr>
          <w:rFonts w:eastAsiaTheme="minorHAnsi"/>
          <w:lang w:eastAsia="en-US"/>
        </w:rPr>
        <w:t xml:space="preserve"> y en el uso eficaz y eficiente de los recursos públicos</w:t>
      </w:r>
      <w:r w:rsidRPr="00CE3A56">
        <w:rPr>
          <w:rFonts w:eastAsiaTheme="minorHAnsi"/>
          <w:lang w:eastAsia="en-US"/>
        </w:rPr>
        <w:t>.</w:t>
      </w:r>
    </w:p>
    <w:p w14:paraId="0D4F4BF4" w14:textId="285D6989" w:rsidR="008372FF" w:rsidRPr="00CE3A56" w:rsidRDefault="008372FF" w:rsidP="00C37EC0">
      <w:pPr>
        <w:spacing w:before="160" w:line="240" w:lineRule="auto"/>
        <w:ind w:firstLine="284"/>
        <w:jc w:val="both"/>
        <w:rPr>
          <w:rFonts w:ascii="Times New Roman" w:hAnsi="Times New Roman"/>
          <w:sz w:val="24"/>
          <w:szCs w:val="24"/>
        </w:rPr>
      </w:pPr>
      <w:r w:rsidRPr="00CE3A56">
        <w:rPr>
          <w:rFonts w:ascii="Times New Roman" w:hAnsi="Times New Roman"/>
          <w:sz w:val="24"/>
          <w:szCs w:val="24"/>
        </w:rPr>
        <w:t>La Unidad de Soporte Económico</w:t>
      </w:r>
      <w:r w:rsidR="00EB4B62">
        <w:rPr>
          <w:rFonts w:ascii="Times New Roman" w:hAnsi="Times New Roman"/>
          <w:sz w:val="24"/>
          <w:szCs w:val="24"/>
        </w:rPr>
        <w:t xml:space="preserve"> (USE, en adelante)</w:t>
      </w:r>
      <w:r w:rsidRPr="00CE3A56">
        <w:rPr>
          <w:rFonts w:ascii="Times New Roman" w:hAnsi="Times New Roman"/>
          <w:sz w:val="24"/>
          <w:szCs w:val="24"/>
        </w:rPr>
        <w:t xml:space="preserve"> lidera las funciones del asesoramiento económico a las entidades locales de la provincia</w:t>
      </w:r>
      <w:r w:rsidR="00A7410F" w:rsidRPr="00CE3A56">
        <w:rPr>
          <w:rFonts w:ascii="Times New Roman" w:hAnsi="Times New Roman"/>
          <w:sz w:val="24"/>
          <w:szCs w:val="24"/>
        </w:rPr>
        <w:t xml:space="preserve"> asesorando mediante </w:t>
      </w:r>
      <w:r w:rsidRPr="00CE3A56">
        <w:rPr>
          <w:rFonts w:ascii="Times New Roman" w:hAnsi="Times New Roman"/>
          <w:sz w:val="24"/>
          <w:szCs w:val="24"/>
        </w:rPr>
        <w:t xml:space="preserve">la transferencia de conocimiento. Se llegó a esta decisión a partir de las conclusiones alcanzadas en </w:t>
      </w:r>
      <w:r w:rsidR="00D8607F" w:rsidRPr="00CE3A56">
        <w:rPr>
          <w:rFonts w:ascii="Times New Roman" w:hAnsi="Times New Roman"/>
          <w:sz w:val="24"/>
          <w:szCs w:val="24"/>
        </w:rPr>
        <w:t>el</w:t>
      </w:r>
      <w:r w:rsidRPr="00CE3A56">
        <w:rPr>
          <w:rFonts w:ascii="Times New Roman" w:hAnsi="Times New Roman"/>
          <w:sz w:val="24"/>
          <w:szCs w:val="24"/>
        </w:rPr>
        <w:t xml:space="preserve"> modelo </w:t>
      </w:r>
      <w:r w:rsidR="00D8607F" w:rsidRPr="00CE3A56">
        <w:rPr>
          <w:rFonts w:ascii="Times New Roman" w:hAnsi="Times New Roman"/>
          <w:sz w:val="24"/>
          <w:szCs w:val="24"/>
        </w:rPr>
        <w:t xml:space="preserve">que se expondrá </w:t>
      </w:r>
      <w:r w:rsidR="00C0664E" w:rsidRPr="00CE3A56">
        <w:rPr>
          <w:rFonts w:ascii="Times New Roman" w:hAnsi="Times New Roman"/>
          <w:sz w:val="24"/>
          <w:szCs w:val="24"/>
        </w:rPr>
        <w:t>a continuación</w:t>
      </w:r>
      <w:r w:rsidRPr="00CE3A56">
        <w:rPr>
          <w:rFonts w:ascii="Times New Roman" w:hAnsi="Times New Roman"/>
          <w:sz w:val="24"/>
          <w:szCs w:val="24"/>
        </w:rPr>
        <w:t>.</w:t>
      </w:r>
    </w:p>
    <w:p w14:paraId="362182BE" w14:textId="55DC2CAB" w:rsidR="008372FF" w:rsidRPr="00CE3A56" w:rsidRDefault="008372FF" w:rsidP="00C37EC0">
      <w:pPr>
        <w:pStyle w:val="NormalWeb"/>
        <w:spacing w:after="200" w:afterAutospacing="0"/>
        <w:ind w:firstLine="284"/>
        <w:jc w:val="both"/>
        <w:rPr>
          <w:rFonts w:eastAsiaTheme="minorHAnsi"/>
          <w:lang w:eastAsia="en-US"/>
        </w:rPr>
      </w:pPr>
      <w:r w:rsidRPr="00CE3A56">
        <w:rPr>
          <w:rFonts w:eastAsiaTheme="minorHAnsi"/>
          <w:lang w:eastAsia="en-US"/>
        </w:rPr>
        <w:t>El modelo analiza si la formación que ha realizado el personal de las entidades locales tiene un impacto en las tareas que presta la U</w:t>
      </w:r>
      <w:r w:rsidR="00EB4B62">
        <w:rPr>
          <w:rFonts w:eastAsiaTheme="minorHAnsi"/>
          <w:lang w:eastAsia="en-US"/>
        </w:rPr>
        <w:t>SE</w:t>
      </w:r>
      <w:r w:rsidRPr="00CE3A56">
        <w:rPr>
          <w:rFonts w:eastAsiaTheme="minorHAnsi"/>
          <w:lang w:eastAsia="en-US"/>
        </w:rPr>
        <w:t xml:space="preserve"> </w:t>
      </w:r>
      <w:r w:rsidR="00EB4B62">
        <w:rPr>
          <w:rFonts w:eastAsiaTheme="minorHAnsi"/>
          <w:lang w:eastAsia="en-US"/>
        </w:rPr>
        <w:t>d</w:t>
      </w:r>
      <w:r w:rsidRPr="00CE3A56">
        <w:rPr>
          <w:rFonts w:eastAsiaTheme="minorHAnsi"/>
          <w:lang w:eastAsia="en-US"/>
        </w:rPr>
        <w:t>e la Diputación, así como en l</w:t>
      </w:r>
      <w:r w:rsidR="00C53A61">
        <w:rPr>
          <w:rFonts w:eastAsiaTheme="minorHAnsi"/>
          <w:lang w:eastAsia="en-US"/>
        </w:rPr>
        <w:t>a solvencia</w:t>
      </w:r>
      <w:r w:rsidRPr="00CE3A56">
        <w:rPr>
          <w:rFonts w:eastAsiaTheme="minorHAnsi"/>
          <w:lang w:eastAsia="en-US"/>
        </w:rPr>
        <w:t xml:space="preserve"> de las entidades locales</w:t>
      </w:r>
      <w:r w:rsidR="000C507E" w:rsidRPr="00CE3A56">
        <w:rPr>
          <w:rFonts w:eastAsiaTheme="minorHAnsi"/>
          <w:lang w:eastAsia="en-US"/>
        </w:rPr>
        <w:t>.</w:t>
      </w:r>
    </w:p>
    <w:p w14:paraId="1FBFEAB1" w14:textId="77777777" w:rsidR="005244AA" w:rsidRDefault="005244AA" w:rsidP="002B7CA3">
      <w:pPr>
        <w:spacing w:line="240" w:lineRule="auto"/>
        <w:jc w:val="both"/>
        <w:rPr>
          <w:rFonts w:ascii="Times New Roman" w:hAnsi="Times New Roman"/>
          <w:b/>
          <w:i/>
          <w:sz w:val="26"/>
          <w:szCs w:val="26"/>
        </w:rPr>
      </w:pPr>
    </w:p>
    <w:p w14:paraId="4DD6792C" w14:textId="35DDF9AB" w:rsidR="002B7CA3" w:rsidRPr="00CE3A56" w:rsidRDefault="002B7CA3" w:rsidP="002B7CA3">
      <w:pPr>
        <w:spacing w:line="240" w:lineRule="auto"/>
        <w:jc w:val="both"/>
        <w:rPr>
          <w:rFonts w:ascii="Times New Roman" w:hAnsi="Times New Roman"/>
          <w:b/>
          <w:sz w:val="26"/>
          <w:szCs w:val="26"/>
        </w:rPr>
      </w:pPr>
      <w:r w:rsidRPr="00CE3A56">
        <w:rPr>
          <w:rFonts w:ascii="Times New Roman" w:hAnsi="Times New Roman"/>
          <w:b/>
          <w:i/>
          <w:sz w:val="26"/>
          <w:szCs w:val="26"/>
        </w:rPr>
        <w:t xml:space="preserve">1.2. </w:t>
      </w:r>
      <w:r w:rsidR="002D483B" w:rsidRPr="00CE3A56">
        <w:rPr>
          <w:rFonts w:ascii="Times New Roman" w:hAnsi="Times New Roman"/>
          <w:b/>
          <w:i/>
          <w:sz w:val="26"/>
          <w:szCs w:val="26"/>
        </w:rPr>
        <w:t>Objetivos</w:t>
      </w:r>
      <w:r w:rsidRPr="00CE3A56">
        <w:rPr>
          <w:rFonts w:ascii="Times New Roman" w:hAnsi="Times New Roman"/>
          <w:b/>
          <w:i/>
          <w:sz w:val="26"/>
          <w:szCs w:val="26"/>
        </w:rPr>
        <w:t xml:space="preserve"> </w:t>
      </w:r>
    </w:p>
    <w:p w14:paraId="706F3518" w14:textId="6D485763" w:rsidR="00F8482A" w:rsidRPr="00CE3A56" w:rsidRDefault="00D8607F" w:rsidP="00C37EC0">
      <w:pPr>
        <w:pStyle w:val="NormalWeb"/>
        <w:spacing w:after="200" w:afterAutospacing="0"/>
        <w:ind w:firstLine="284"/>
        <w:jc w:val="both"/>
        <w:rPr>
          <w:rFonts w:eastAsiaTheme="minorHAnsi"/>
          <w:lang w:eastAsia="en-US"/>
        </w:rPr>
      </w:pPr>
      <w:r w:rsidRPr="00CE3A56">
        <w:rPr>
          <w:rFonts w:eastAsiaTheme="minorHAnsi"/>
          <w:lang w:eastAsia="en-US"/>
        </w:rPr>
        <w:t xml:space="preserve">El modelo tiene </w:t>
      </w:r>
      <w:r w:rsidR="00F8482A" w:rsidRPr="00CE3A56">
        <w:rPr>
          <w:rFonts w:eastAsiaTheme="minorHAnsi"/>
          <w:lang w:eastAsia="en-US"/>
        </w:rPr>
        <w:t>como</w:t>
      </w:r>
      <w:r w:rsidRPr="00CE3A56">
        <w:rPr>
          <w:rFonts w:eastAsiaTheme="minorHAnsi"/>
          <w:lang w:eastAsia="en-US"/>
        </w:rPr>
        <w:t xml:space="preserve"> objetivos</w:t>
      </w:r>
      <w:r w:rsidR="00F8482A" w:rsidRPr="00CE3A56">
        <w:rPr>
          <w:rFonts w:eastAsiaTheme="minorHAnsi"/>
          <w:lang w:eastAsia="en-US"/>
        </w:rPr>
        <w:t xml:space="preserve"> contrastar </w:t>
      </w:r>
      <w:r w:rsidR="00CD7938" w:rsidRPr="00CE3A56">
        <w:rPr>
          <w:rFonts w:eastAsiaTheme="minorHAnsi"/>
          <w:lang w:eastAsia="en-US"/>
        </w:rPr>
        <w:t>si</w:t>
      </w:r>
      <w:r w:rsidR="00F8482A" w:rsidRPr="00CE3A56">
        <w:rPr>
          <w:rFonts w:eastAsiaTheme="minorHAnsi"/>
          <w:lang w:eastAsia="en-US"/>
        </w:rPr>
        <w:t xml:space="preserve"> la formación recibida por parte del personal de las entidades locales:</w:t>
      </w:r>
    </w:p>
    <w:p w14:paraId="58FD3B7D" w14:textId="479719F2" w:rsidR="00F8482A" w:rsidRPr="00CE3A56" w:rsidRDefault="00F8482A" w:rsidP="00C37EC0">
      <w:pPr>
        <w:pStyle w:val="NormalWeb"/>
        <w:spacing w:after="200" w:afterAutospacing="0"/>
        <w:ind w:firstLine="284"/>
        <w:jc w:val="both"/>
        <w:rPr>
          <w:rFonts w:eastAsiaTheme="minorHAnsi"/>
          <w:lang w:eastAsia="en-US"/>
        </w:rPr>
      </w:pPr>
      <w:r w:rsidRPr="00CE3A56">
        <w:rPr>
          <w:rFonts w:eastAsiaTheme="minorHAnsi"/>
          <w:lang w:eastAsia="en-US"/>
        </w:rPr>
        <w:t>1. afecta positivamente a su grado de solvencia</w:t>
      </w:r>
    </w:p>
    <w:p w14:paraId="05E016E9" w14:textId="317A17B7" w:rsidR="00F8482A" w:rsidRPr="00CE3A56" w:rsidRDefault="00F8482A" w:rsidP="00C37EC0">
      <w:pPr>
        <w:pStyle w:val="NormalWeb"/>
        <w:spacing w:after="200" w:afterAutospacing="0"/>
        <w:ind w:firstLine="284"/>
        <w:jc w:val="both"/>
        <w:rPr>
          <w:rFonts w:eastAsiaTheme="minorHAnsi"/>
          <w:lang w:eastAsia="en-US"/>
        </w:rPr>
      </w:pPr>
      <w:r w:rsidRPr="00CE3A56">
        <w:rPr>
          <w:rFonts w:eastAsiaTheme="minorHAnsi"/>
          <w:lang w:eastAsia="en-US"/>
        </w:rPr>
        <w:t>2. reduce el esfuerzo que tiene que realizar el personal de la Unidad de Soporte Económico para asesorarlos</w:t>
      </w:r>
    </w:p>
    <w:p w14:paraId="04B029BC" w14:textId="77777777" w:rsidR="008372FF" w:rsidRPr="00CE3A56" w:rsidRDefault="008372FF" w:rsidP="00F8482A">
      <w:pPr>
        <w:spacing w:after="0" w:line="240" w:lineRule="auto"/>
        <w:ind w:left="708"/>
        <w:jc w:val="both"/>
        <w:rPr>
          <w:rFonts w:ascii="Times New Roman" w:hAnsi="Times New Roman"/>
          <w:sz w:val="24"/>
          <w:szCs w:val="24"/>
        </w:rPr>
      </w:pPr>
    </w:p>
    <w:p w14:paraId="13A12728" w14:textId="77777777" w:rsidR="004963EF" w:rsidRPr="00CE3A56" w:rsidRDefault="002B7CA3" w:rsidP="004963EF">
      <w:pPr>
        <w:spacing w:line="240" w:lineRule="auto"/>
        <w:jc w:val="both"/>
        <w:rPr>
          <w:rFonts w:ascii="Times New Roman" w:hAnsi="Times New Roman"/>
          <w:i/>
          <w:sz w:val="26"/>
          <w:szCs w:val="26"/>
        </w:rPr>
      </w:pPr>
      <w:r w:rsidRPr="00CE3A56">
        <w:rPr>
          <w:rFonts w:ascii="Times New Roman" w:hAnsi="Times New Roman"/>
          <w:b/>
          <w:i/>
          <w:sz w:val="26"/>
          <w:szCs w:val="26"/>
        </w:rPr>
        <w:t xml:space="preserve">1.3. </w:t>
      </w:r>
      <w:r w:rsidR="002D483B" w:rsidRPr="00CE3A56">
        <w:rPr>
          <w:rFonts w:ascii="Times New Roman" w:hAnsi="Times New Roman"/>
          <w:b/>
          <w:i/>
          <w:sz w:val="26"/>
          <w:szCs w:val="26"/>
        </w:rPr>
        <w:t>Metodología</w:t>
      </w:r>
      <w:r w:rsidRPr="00CE3A56">
        <w:rPr>
          <w:rFonts w:ascii="Times New Roman" w:hAnsi="Times New Roman"/>
          <w:b/>
          <w:i/>
          <w:sz w:val="26"/>
          <w:szCs w:val="26"/>
        </w:rPr>
        <w:t xml:space="preserve"> </w:t>
      </w:r>
    </w:p>
    <w:p w14:paraId="6E3D3292" w14:textId="11134FF6" w:rsidR="008372FF" w:rsidRPr="00E57A4B" w:rsidRDefault="00C37EC0" w:rsidP="00E57A4B">
      <w:pPr>
        <w:spacing w:line="240" w:lineRule="auto"/>
        <w:ind w:firstLine="284"/>
        <w:jc w:val="both"/>
        <w:rPr>
          <w:rFonts w:ascii="Times New Roman" w:hAnsi="Times New Roman"/>
          <w:i/>
          <w:sz w:val="24"/>
          <w:szCs w:val="26"/>
        </w:rPr>
      </w:pPr>
      <w:r w:rsidRPr="00E57A4B">
        <w:rPr>
          <w:rFonts w:ascii="Times New Roman" w:hAnsi="Times New Roman"/>
          <w:i/>
          <w:sz w:val="24"/>
          <w:szCs w:val="26"/>
        </w:rPr>
        <w:t xml:space="preserve">1.3.1. </w:t>
      </w:r>
      <w:r w:rsidR="008372FF" w:rsidRPr="00E57A4B">
        <w:rPr>
          <w:rFonts w:ascii="Times New Roman" w:hAnsi="Times New Roman"/>
          <w:i/>
          <w:sz w:val="24"/>
          <w:szCs w:val="26"/>
        </w:rPr>
        <w:t>Principios seguidos para el diseño del modelo de análisis</w:t>
      </w:r>
    </w:p>
    <w:p w14:paraId="3CC9F969" w14:textId="3C23C755" w:rsidR="008372FF" w:rsidRPr="00CE3A56" w:rsidRDefault="008372FF" w:rsidP="00431C17">
      <w:pPr>
        <w:pStyle w:val="NormalWeb"/>
        <w:spacing w:after="200" w:afterAutospacing="0"/>
        <w:ind w:firstLine="284"/>
        <w:jc w:val="both"/>
        <w:rPr>
          <w:rFonts w:eastAsiaTheme="minorHAnsi"/>
          <w:lang w:eastAsia="en-US"/>
        </w:rPr>
      </w:pPr>
      <w:r w:rsidRPr="00CE3A56">
        <w:rPr>
          <w:rFonts w:eastAsiaTheme="minorHAnsi"/>
          <w:lang w:eastAsia="en-US"/>
        </w:rPr>
        <w:t xml:space="preserve">a) </w:t>
      </w:r>
      <w:r w:rsidR="003E04F1" w:rsidRPr="00CE3A56">
        <w:rPr>
          <w:rFonts w:eastAsiaTheme="minorHAnsi"/>
          <w:lang w:eastAsia="en-US"/>
        </w:rPr>
        <w:t xml:space="preserve">Mediante indicadores </w:t>
      </w:r>
      <w:r w:rsidR="00A25FFA" w:rsidRPr="00CE3A56">
        <w:rPr>
          <w:rFonts w:eastAsiaTheme="minorHAnsi"/>
          <w:lang w:eastAsia="en-US"/>
        </w:rPr>
        <w:t xml:space="preserve">obtenidos de las 134 entidades locales a las que se presta asistencia </w:t>
      </w:r>
      <w:r w:rsidR="00B93358">
        <w:rPr>
          <w:rFonts w:eastAsiaTheme="minorHAnsi"/>
          <w:lang w:eastAsia="en-US"/>
        </w:rPr>
        <w:t xml:space="preserve">y </w:t>
      </w:r>
      <w:r w:rsidR="003E04F1" w:rsidRPr="00CE3A56">
        <w:rPr>
          <w:rFonts w:eastAsiaTheme="minorHAnsi"/>
          <w:lang w:eastAsia="en-US"/>
        </w:rPr>
        <w:t xml:space="preserve">que se definiran a posteriori se </w:t>
      </w:r>
      <w:r w:rsidRPr="00CE3A56">
        <w:rPr>
          <w:rFonts w:eastAsiaTheme="minorHAnsi"/>
          <w:lang w:eastAsia="en-US"/>
        </w:rPr>
        <w:t>han confeccionado los</w:t>
      </w:r>
      <w:r w:rsidR="000F40B3" w:rsidRPr="00CE3A56">
        <w:rPr>
          <w:rFonts w:eastAsiaTheme="minorHAnsi"/>
          <w:lang w:eastAsia="en-US"/>
        </w:rPr>
        <w:t xml:space="preserve"> siguientes</w:t>
      </w:r>
      <w:r w:rsidRPr="00CE3A56">
        <w:rPr>
          <w:rFonts w:eastAsiaTheme="minorHAnsi"/>
          <w:lang w:eastAsia="en-US"/>
        </w:rPr>
        <w:t xml:space="preserve"> </w:t>
      </w:r>
      <w:r w:rsidRPr="00CE3A56">
        <w:rPr>
          <w:rFonts w:eastAsiaTheme="minorHAnsi"/>
          <w:b/>
          <w:bCs/>
          <w:lang w:eastAsia="en-US"/>
        </w:rPr>
        <w:t>índices</w:t>
      </w:r>
      <w:r w:rsidRPr="00CE3A56">
        <w:rPr>
          <w:rFonts w:eastAsiaTheme="minorHAnsi"/>
          <w:lang w:eastAsia="en-US"/>
        </w:rPr>
        <w:t>:</w:t>
      </w:r>
    </w:p>
    <w:p w14:paraId="2B71FA0D" w14:textId="455693E8" w:rsidR="008372FF" w:rsidRPr="00CE3A56" w:rsidRDefault="008372FF" w:rsidP="00431C17">
      <w:pPr>
        <w:pStyle w:val="NormalWeb"/>
        <w:spacing w:after="200" w:afterAutospacing="0"/>
        <w:ind w:firstLine="284"/>
        <w:jc w:val="both"/>
        <w:rPr>
          <w:rFonts w:eastAsiaTheme="minorHAnsi"/>
          <w:lang w:eastAsia="en-US"/>
        </w:rPr>
      </w:pPr>
      <w:r w:rsidRPr="00CE3A56">
        <w:rPr>
          <w:rFonts w:eastAsiaTheme="minorHAnsi"/>
          <w:lang w:eastAsia="en-US"/>
        </w:rPr>
        <w:t>1. Índice de esfuerzo del personal de la USE</w:t>
      </w:r>
    </w:p>
    <w:p w14:paraId="4E929472" w14:textId="77777777" w:rsidR="008372FF" w:rsidRPr="00CE3A56" w:rsidRDefault="008372FF" w:rsidP="00431C17">
      <w:pPr>
        <w:pStyle w:val="NormalWeb"/>
        <w:spacing w:after="200" w:afterAutospacing="0"/>
        <w:ind w:firstLine="284"/>
        <w:jc w:val="both"/>
        <w:rPr>
          <w:rFonts w:eastAsiaTheme="minorHAnsi"/>
          <w:lang w:eastAsia="en-US"/>
        </w:rPr>
      </w:pPr>
      <w:r w:rsidRPr="00CE3A56">
        <w:rPr>
          <w:rFonts w:eastAsiaTheme="minorHAnsi"/>
          <w:lang w:eastAsia="en-US"/>
        </w:rPr>
        <w:t>2. Índice de saneamiento de las entidades locales</w:t>
      </w:r>
    </w:p>
    <w:p w14:paraId="6855BD71" w14:textId="77AD7555" w:rsidR="008372FF" w:rsidRPr="00CE3A56" w:rsidRDefault="00C37EC0" w:rsidP="00431C17">
      <w:pPr>
        <w:pStyle w:val="NormalWeb"/>
        <w:spacing w:beforeAutospacing="0" w:after="200" w:afterAutospacing="0"/>
        <w:ind w:firstLine="284"/>
        <w:jc w:val="both"/>
      </w:pPr>
      <w:r w:rsidRPr="00CE3A56">
        <w:rPr>
          <w:rFonts w:eastAsiaTheme="minorHAnsi"/>
          <w:lang w:eastAsia="en-US"/>
        </w:rPr>
        <w:t>Previamente</w:t>
      </w:r>
      <w:r w:rsidR="000F40B3" w:rsidRPr="00CE3A56">
        <w:rPr>
          <w:rFonts w:eastAsiaTheme="minorHAnsi"/>
          <w:lang w:eastAsia="en-US"/>
        </w:rPr>
        <w:t xml:space="preserve"> se</w:t>
      </w:r>
      <w:r w:rsidR="008372FF" w:rsidRPr="00CE3A56">
        <w:rPr>
          <w:rFonts w:eastAsiaTheme="minorHAnsi"/>
          <w:lang w:eastAsia="en-US"/>
        </w:rPr>
        <w:t xml:space="preserve"> ha</w:t>
      </w:r>
      <w:r w:rsidR="000F40B3" w:rsidRPr="00CE3A56">
        <w:rPr>
          <w:rFonts w:eastAsiaTheme="minorHAnsi"/>
          <w:lang w:eastAsia="en-US"/>
        </w:rPr>
        <w:t>n</w:t>
      </w:r>
      <w:r w:rsidR="008372FF" w:rsidRPr="00CE3A56">
        <w:rPr>
          <w:rFonts w:eastAsiaTheme="minorHAnsi"/>
          <w:lang w:eastAsia="en-US"/>
        </w:rPr>
        <w:t xml:space="preserve"> </w:t>
      </w:r>
      <w:r w:rsidRPr="00CE3A56">
        <w:rPr>
          <w:rFonts w:eastAsiaTheme="minorHAnsi"/>
          <w:lang w:eastAsia="en-US"/>
        </w:rPr>
        <w:t>normalizado</w:t>
      </w:r>
      <w:r w:rsidR="008372FF" w:rsidRPr="00CE3A56">
        <w:rPr>
          <w:rFonts w:eastAsiaTheme="minorHAnsi"/>
          <w:lang w:eastAsia="en-US"/>
        </w:rPr>
        <w:t xml:space="preserve"> los </w:t>
      </w:r>
      <w:r w:rsidR="00CE3A56">
        <w:rPr>
          <w:rFonts w:eastAsiaTheme="minorHAnsi"/>
          <w:lang w:eastAsia="en-US"/>
        </w:rPr>
        <w:t>indicadores</w:t>
      </w:r>
      <w:r w:rsidR="008372FF" w:rsidRPr="00CE3A56">
        <w:rPr>
          <w:rFonts w:eastAsiaTheme="minorHAnsi"/>
          <w:lang w:eastAsia="en-US"/>
        </w:rPr>
        <w:t xml:space="preserve"> a efectos de que sean comparables. </w:t>
      </w:r>
      <w:r w:rsidR="008372FF" w:rsidRPr="00CE3A56">
        <w:t xml:space="preserve">En la normalización se ha tenido en cuenta también que el 95% de los datos están entre la media y </w:t>
      </w:r>
      <w:r w:rsidR="008372FF" w:rsidRPr="00CE3A56">
        <w:lastRenderedPageBreak/>
        <w:t>más/menos 2,5 veces la desviación estándar. Por lo tanto, los valores que se encontraban por debajo o por encima de este límite se han considerado como valores extremos para que no alteraran significativamente las conclusiones obtenidas.</w:t>
      </w:r>
    </w:p>
    <w:p w14:paraId="5F021F72" w14:textId="6042F5B5" w:rsidR="008372FF" w:rsidRPr="00CE3A56" w:rsidRDefault="008372FF" w:rsidP="00431C17">
      <w:pPr>
        <w:spacing w:before="100" w:line="240" w:lineRule="auto"/>
        <w:ind w:firstLine="284"/>
        <w:jc w:val="both"/>
        <w:rPr>
          <w:rFonts w:ascii="Times New Roman" w:hAnsi="Times New Roman"/>
          <w:sz w:val="24"/>
          <w:szCs w:val="24"/>
          <w:lang w:eastAsia="ca-ES"/>
        </w:rPr>
      </w:pPr>
      <w:r w:rsidRPr="00CE3A56">
        <w:rPr>
          <w:rFonts w:ascii="Times New Roman" w:hAnsi="Times New Roman"/>
          <w:sz w:val="24"/>
          <w:szCs w:val="24"/>
          <w:lang w:eastAsia="ca-ES"/>
        </w:rPr>
        <w:t xml:space="preserve">b) Una vez confeccionados los índices se </w:t>
      </w:r>
      <w:r w:rsidR="006E26C7" w:rsidRPr="00CE3A56">
        <w:rPr>
          <w:rFonts w:ascii="Times New Roman" w:hAnsi="Times New Roman"/>
          <w:sz w:val="24"/>
          <w:szCs w:val="24"/>
          <w:lang w:eastAsia="ca-ES"/>
        </w:rPr>
        <w:t xml:space="preserve">ha </w:t>
      </w:r>
      <w:r w:rsidRPr="00CE3A56">
        <w:rPr>
          <w:rFonts w:ascii="Times New Roman" w:hAnsi="Times New Roman"/>
          <w:sz w:val="24"/>
          <w:szCs w:val="24"/>
          <w:lang w:eastAsia="ca-ES"/>
        </w:rPr>
        <w:t>analiza</w:t>
      </w:r>
      <w:r w:rsidR="006E26C7" w:rsidRPr="00CE3A56">
        <w:rPr>
          <w:rFonts w:ascii="Times New Roman" w:hAnsi="Times New Roman"/>
          <w:sz w:val="24"/>
          <w:szCs w:val="24"/>
          <w:lang w:eastAsia="ca-ES"/>
        </w:rPr>
        <w:t>do el</w:t>
      </w:r>
      <w:r w:rsidRPr="00CE3A56">
        <w:rPr>
          <w:rFonts w:ascii="Times New Roman" w:hAnsi="Times New Roman"/>
          <w:b/>
          <w:bCs/>
          <w:sz w:val="24"/>
          <w:szCs w:val="24"/>
          <w:lang w:eastAsia="ca-ES"/>
        </w:rPr>
        <w:t xml:space="preserve"> impacto </w:t>
      </w:r>
      <w:r w:rsidR="006E26C7" w:rsidRPr="00CE3A56">
        <w:rPr>
          <w:rFonts w:ascii="Times New Roman" w:hAnsi="Times New Roman"/>
          <w:b/>
          <w:bCs/>
          <w:sz w:val="24"/>
          <w:szCs w:val="24"/>
          <w:lang w:eastAsia="ca-ES"/>
        </w:rPr>
        <w:t>de la formación en los</w:t>
      </w:r>
      <w:r w:rsidRPr="00CE3A56">
        <w:rPr>
          <w:rFonts w:ascii="Times New Roman" w:hAnsi="Times New Roman"/>
          <w:b/>
          <w:bCs/>
          <w:sz w:val="24"/>
          <w:szCs w:val="24"/>
          <w:lang w:eastAsia="ca-ES"/>
        </w:rPr>
        <w:t xml:space="preserve"> índices </w:t>
      </w:r>
      <w:r w:rsidR="000C507E" w:rsidRPr="00CE3A56">
        <w:rPr>
          <w:rFonts w:ascii="Times New Roman" w:hAnsi="Times New Roman"/>
          <w:sz w:val="24"/>
          <w:szCs w:val="24"/>
          <w:lang w:eastAsia="ca-ES"/>
        </w:rPr>
        <w:t xml:space="preserve">utilizando </w:t>
      </w:r>
      <w:r w:rsidRPr="00CE3A56">
        <w:rPr>
          <w:rFonts w:ascii="Times New Roman" w:hAnsi="Times New Roman"/>
          <w:b/>
          <w:bCs/>
          <w:sz w:val="24"/>
          <w:szCs w:val="24"/>
          <w:lang w:eastAsia="ca-ES"/>
        </w:rPr>
        <w:t>coeficientes de correlación lineal</w:t>
      </w:r>
      <w:r w:rsidRPr="00CE3A56">
        <w:rPr>
          <w:rStyle w:val="Refdenotaalpie"/>
          <w:rFonts w:ascii="Times New Roman" w:hAnsi="Times New Roman"/>
          <w:b/>
          <w:bCs/>
          <w:sz w:val="24"/>
          <w:szCs w:val="24"/>
          <w:lang w:eastAsia="ca-ES"/>
        </w:rPr>
        <w:footnoteReference w:id="1"/>
      </w:r>
      <w:r w:rsidRPr="00CE3A56">
        <w:rPr>
          <w:rFonts w:ascii="Times New Roman" w:hAnsi="Times New Roman"/>
          <w:sz w:val="24"/>
          <w:szCs w:val="24"/>
          <w:lang w:eastAsia="ca-ES"/>
        </w:rPr>
        <w:t>. Estos coeficientes son una medida que permite conocer el grado de asociación lineal</w:t>
      </w:r>
      <w:r w:rsidRPr="00CE3A56">
        <w:rPr>
          <w:rStyle w:val="Refdenotaalpie"/>
          <w:rFonts w:ascii="Times New Roman" w:hAnsi="Times New Roman"/>
          <w:sz w:val="24"/>
          <w:szCs w:val="24"/>
          <w:lang w:eastAsia="ca-ES"/>
        </w:rPr>
        <w:footnoteReference w:id="2"/>
      </w:r>
      <w:r w:rsidRPr="00CE3A56">
        <w:rPr>
          <w:rFonts w:ascii="Times New Roman" w:hAnsi="Times New Roman"/>
          <w:sz w:val="24"/>
          <w:szCs w:val="24"/>
          <w:lang w:eastAsia="ca-ES"/>
        </w:rPr>
        <w:t xml:space="preserve"> entre dos variables cuantitativas</w:t>
      </w:r>
      <w:r w:rsidR="000C507E" w:rsidRPr="00CE3A56">
        <w:rPr>
          <w:rFonts w:ascii="Times New Roman" w:hAnsi="Times New Roman"/>
          <w:sz w:val="24"/>
          <w:szCs w:val="24"/>
          <w:lang w:eastAsia="ca-ES"/>
        </w:rPr>
        <w:t xml:space="preserve"> y se calculan como:</w:t>
      </w:r>
    </w:p>
    <w:p w14:paraId="31D82F75" w14:textId="77777777" w:rsidR="008372FF" w:rsidRPr="00CE3A56" w:rsidRDefault="008372FF" w:rsidP="00B93358">
      <w:pPr>
        <w:spacing w:after="0" w:line="240" w:lineRule="auto"/>
        <w:ind w:firstLine="284"/>
        <w:jc w:val="both"/>
        <w:rPr>
          <w:rFonts w:ascii="Times New Roman" w:hAnsi="Times New Roman"/>
          <w:sz w:val="24"/>
          <w:szCs w:val="24"/>
          <w:lang w:eastAsia="ca-ES"/>
        </w:rPr>
      </w:pPr>
      <m:oMathPara>
        <m:oMathParaPr>
          <m:jc m:val="centerGroup"/>
        </m:oMathParaPr>
        <m:oMath>
          <m:r>
            <w:rPr>
              <w:rFonts w:ascii="Cambria Math" w:hAnsi="Cambria Math"/>
              <w:kern w:val="24"/>
              <w:sz w:val="24"/>
              <w:szCs w:val="24"/>
              <w:lang w:eastAsia="ca-ES"/>
            </w:rPr>
            <m:t>R=</m:t>
          </m:r>
          <m:f>
            <m:fPr>
              <m:ctrlPr>
                <w:rPr>
                  <w:rFonts w:ascii="Cambria Math" w:hAnsi="Cambria Math"/>
                  <w:i/>
                  <w:iCs/>
                  <w:kern w:val="24"/>
                  <w:sz w:val="24"/>
                  <w:szCs w:val="24"/>
                  <w:lang w:eastAsia="ca-ES"/>
                </w:rPr>
              </m:ctrlPr>
            </m:fPr>
            <m:num>
              <m:sSub>
                <m:sSubPr>
                  <m:ctrlPr>
                    <w:rPr>
                      <w:rFonts w:ascii="Cambria Math" w:hAnsi="Cambria Math"/>
                      <w:i/>
                      <w:iCs/>
                      <w:kern w:val="24"/>
                      <w:sz w:val="24"/>
                      <w:szCs w:val="24"/>
                      <w:lang w:eastAsia="ca-ES"/>
                    </w:rPr>
                  </m:ctrlPr>
                </m:sSubPr>
                <m:e>
                  <m:r>
                    <w:rPr>
                      <w:rFonts w:ascii="Cambria Math" w:hAnsi="Cambria Math"/>
                      <w:kern w:val="24"/>
                      <w:sz w:val="24"/>
                      <w:szCs w:val="24"/>
                      <w:lang w:eastAsia="ca-ES"/>
                    </w:rPr>
                    <m:t>S</m:t>
                  </m:r>
                </m:e>
                <m:sub>
                  <m:r>
                    <w:rPr>
                      <w:rFonts w:ascii="Cambria Math" w:hAnsi="Cambria Math"/>
                      <w:kern w:val="24"/>
                      <w:sz w:val="24"/>
                      <w:szCs w:val="24"/>
                      <w:lang w:eastAsia="ca-ES"/>
                    </w:rPr>
                    <m:t>ij</m:t>
                  </m:r>
                </m:sub>
              </m:sSub>
            </m:num>
            <m:den>
              <m:sSub>
                <m:sSubPr>
                  <m:ctrlPr>
                    <w:rPr>
                      <w:rFonts w:ascii="Cambria Math" w:hAnsi="Cambria Math"/>
                      <w:i/>
                      <w:iCs/>
                      <w:kern w:val="24"/>
                      <w:sz w:val="24"/>
                      <w:szCs w:val="24"/>
                      <w:lang w:eastAsia="ca-ES"/>
                    </w:rPr>
                  </m:ctrlPr>
                </m:sSubPr>
                <m:e>
                  <m:r>
                    <w:rPr>
                      <w:rFonts w:ascii="Cambria Math" w:hAnsi="Cambria Math"/>
                      <w:kern w:val="24"/>
                      <w:sz w:val="24"/>
                      <w:szCs w:val="24"/>
                      <w:lang w:eastAsia="ca-ES"/>
                    </w:rPr>
                    <m:t>S</m:t>
                  </m:r>
                </m:e>
                <m:sub>
                  <m:r>
                    <w:rPr>
                      <w:rFonts w:ascii="Cambria Math" w:hAnsi="Cambria Math"/>
                      <w:kern w:val="24"/>
                      <w:sz w:val="24"/>
                      <w:szCs w:val="24"/>
                      <w:lang w:eastAsia="ca-ES"/>
                    </w:rPr>
                    <m:t>i</m:t>
                  </m:r>
                </m:sub>
              </m:sSub>
              <m:r>
                <w:rPr>
                  <w:rFonts w:ascii="Cambria Math" w:hAnsi="Cambria Math"/>
                  <w:kern w:val="24"/>
                  <w:sz w:val="24"/>
                  <w:szCs w:val="24"/>
                  <w:lang w:eastAsia="ca-ES"/>
                </w:rPr>
                <m:t>*</m:t>
              </m:r>
              <m:sSub>
                <m:sSubPr>
                  <m:ctrlPr>
                    <w:rPr>
                      <w:rFonts w:ascii="Cambria Math" w:hAnsi="Cambria Math"/>
                      <w:i/>
                      <w:iCs/>
                      <w:kern w:val="24"/>
                      <w:sz w:val="24"/>
                      <w:szCs w:val="24"/>
                      <w:lang w:eastAsia="ca-ES"/>
                    </w:rPr>
                  </m:ctrlPr>
                </m:sSubPr>
                <m:e>
                  <m:r>
                    <w:rPr>
                      <w:rFonts w:ascii="Cambria Math" w:hAnsi="Cambria Math"/>
                      <w:kern w:val="24"/>
                      <w:sz w:val="24"/>
                      <w:szCs w:val="24"/>
                      <w:lang w:eastAsia="ca-ES"/>
                    </w:rPr>
                    <m:t>S</m:t>
                  </m:r>
                </m:e>
                <m:sub>
                  <m:r>
                    <w:rPr>
                      <w:rFonts w:ascii="Cambria Math" w:hAnsi="Cambria Math"/>
                      <w:kern w:val="24"/>
                      <w:sz w:val="24"/>
                      <w:szCs w:val="24"/>
                      <w:lang w:eastAsia="ca-ES"/>
                    </w:rPr>
                    <m:t>j</m:t>
                  </m:r>
                </m:sub>
              </m:sSub>
            </m:den>
          </m:f>
        </m:oMath>
      </m:oMathPara>
    </w:p>
    <w:p w14:paraId="4DA16EC0" w14:textId="77777777" w:rsidR="008372FF" w:rsidRPr="00CE3A56" w:rsidRDefault="008372FF" w:rsidP="00B93358">
      <w:pPr>
        <w:spacing w:after="0" w:line="240" w:lineRule="auto"/>
        <w:ind w:firstLine="284"/>
        <w:jc w:val="both"/>
        <w:rPr>
          <w:rFonts w:ascii="Times New Roman" w:hAnsi="Times New Roman"/>
          <w:sz w:val="24"/>
          <w:szCs w:val="24"/>
          <w:lang w:eastAsia="ca-ES"/>
        </w:rPr>
      </w:pPr>
      <w:r w:rsidRPr="00CE3A56">
        <w:rPr>
          <w:rFonts w:ascii="Times New Roman" w:hAnsi="Times New Roman"/>
          <w:kern w:val="24"/>
          <w:sz w:val="24"/>
          <w:szCs w:val="24"/>
          <w:lang w:eastAsia="ca-ES"/>
        </w:rPr>
        <w:t>Siendo:</w:t>
      </w:r>
    </w:p>
    <w:p w14:paraId="45228E05" w14:textId="77777777" w:rsidR="008372FF" w:rsidRPr="00CE3A56" w:rsidRDefault="008372FF" w:rsidP="00B93358">
      <w:pPr>
        <w:spacing w:after="0" w:line="240" w:lineRule="auto"/>
        <w:ind w:firstLine="284"/>
        <w:jc w:val="both"/>
        <w:rPr>
          <w:rFonts w:ascii="Times New Roman" w:hAnsi="Times New Roman"/>
          <w:sz w:val="24"/>
          <w:szCs w:val="24"/>
          <w:lang w:eastAsia="ca-ES"/>
        </w:rPr>
      </w:pPr>
      <w:r w:rsidRPr="00CE3A56">
        <w:rPr>
          <w:rFonts w:ascii="Times New Roman" w:hAnsi="Times New Roman"/>
          <w:kern w:val="24"/>
          <w:sz w:val="24"/>
          <w:szCs w:val="24"/>
          <w:lang w:eastAsia="ca-ES"/>
        </w:rPr>
        <w:t>S</w:t>
      </w:r>
      <w:r w:rsidRPr="00CE3A56">
        <w:rPr>
          <w:rFonts w:ascii="Times New Roman" w:hAnsi="Times New Roman"/>
          <w:kern w:val="24"/>
          <w:position w:val="-7"/>
          <w:sz w:val="24"/>
          <w:szCs w:val="24"/>
          <w:vertAlign w:val="subscript"/>
          <w:lang w:eastAsia="ca-ES"/>
        </w:rPr>
        <w:t>ij</w:t>
      </w:r>
      <w:r w:rsidRPr="00CE3A56">
        <w:rPr>
          <w:rFonts w:ascii="Times New Roman" w:hAnsi="Times New Roman"/>
          <w:kern w:val="24"/>
          <w:sz w:val="24"/>
          <w:szCs w:val="24"/>
          <w:lang w:eastAsia="ca-ES"/>
        </w:rPr>
        <w:t xml:space="preserve"> la covarianza entre las variables </w:t>
      </w:r>
      <w:r w:rsidRPr="00CE3A56">
        <w:rPr>
          <w:rFonts w:ascii="Times New Roman" w:hAnsi="Times New Roman"/>
          <w:i/>
          <w:iCs/>
          <w:kern w:val="24"/>
          <w:sz w:val="24"/>
          <w:szCs w:val="24"/>
          <w:lang w:eastAsia="ca-ES"/>
        </w:rPr>
        <w:t>i</w:t>
      </w:r>
      <w:r w:rsidRPr="00CE3A56">
        <w:rPr>
          <w:rFonts w:ascii="Times New Roman" w:hAnsi="Times New Roman"/>
          <w:kern w:val="24"/>
          <w:sz w:val="24"/>
          <w:szCs w:val="24"/>
          <w:lang w:eastAsia="ca-ES"/>
        </w:rPr>
        <w:t xml:space="preserve"> y </w:t>
      </w:r>
      <w:r w:rsidRPr="00CE3A56">
        <w:rPr>
          <w:rFonts w:ascii="Times New Roman" w:hAnsi="Times New Roman"/>
          <w:i/>
          <w:iCs/>
          <w:kern w:val="24"/>
          <w:sz w:val="24"/>
          <w:szCs w:val="24"/>
          <w:lang w:eastAsia="ca-ES"/>
        </w:rPr>
        <w:t>j</w:t>
      </w:r>
    </w:p>
    <w:p w14:paraId="59AF4097" w14:textId="77777777" w:rsidR="008372FF" w:rsidRPr="00CE3A56" w:rsidRDefault="008372FF" w:rsidP="00B93358">
      <w:pPr>
        <w:spacing w:after="0" w:line="240" w:lineRule="auto"/>
        <w:ind w:firstLine="284"/>
        <w:jc w:val="both"/>
        <w:rPr>
          <w:rFonts w:ascii="Times New Roman" w:hAnsi="Times New Roman"/>
          <w:sz w:val="24"/>
          <w:szCs w:val="24"/>
          <w:lang w:eastAsia="ca-ES"/>
        </w:rPr>
      </w:pPr>
      <w:r w:rsidRPr="00CE3A56">
        <w:rPr>
          <w:rFonts w:ascii="Times New Roman" w:hAnsi="Times New Roman"/>
          <w:kern w:val="24"/>
          <w:sz w:val="24"/>
          <w:szCs w:val="24"/>
          <w:lang w:eastAsia="ca-ES"/>
        </w:rPr>
        <w:t>S</w:t>
      </w:r>
      <w:r w:rsidRPr="00CE3A56">
        <w:rPr>
          <w:rFonts w:ascii="Times New Roman" w:hAnsi="Times New Roman"/>
          <w:kern w:val="24"/>
          <w:position w:val="-7"/>
          <w:sz w:val="24"/>
          <w:szCs w:val="24"/>
          <w:vertAlign w:val="subscript"/>
          <w:lang w:eastAsia="ca-ES"/>
        </w:rPr>
        <w:t>i</w:t>
      </w:r>
      <w:r w:rsidRPr="00CE3A56">
        <w:rPr>
          <w:rFonts w:ascii="Times New Roman" w:hAnsi="Times New Roman"/>
          <w:kern w:val="24"/>
          <w:sz w:val="24"/>
          <w:szCs w:val="24"/>
          <w:lang w:eastAsia="ca-ES"/>
        </w:rPr>
        <w:t xml:space="preserve"> la desviación estándar de la variable i</w:t>
      </w:r>
    </w:p>
    <w:p w14:paraId="334DB47A" w14:textId="76F16076" w:rsidR="008372FF" w:rsidRPr="00CE3A56" w:rsidRDefault="008372FF" w:rsidP="00B93358">
      <w:pPr>
        <w:spacing w:after="0" w:line="240" w:lineRule="auto"/>
        <w:ind w:firstLine="284"/>
        <w:jc w:val="both"/>
        <w:rPr>
          <w:rFonts w:ascii="Times New Roman" w:hAnsi="Times New Roman"/>
          <w:kern w:val="24"/>
          <w:sz w:val="24"/>
          <w:szCs w:val="24"/>
          <w:lang w:eastAsia="ca-ES"/>
        </w:rPr>
      </w:pPr>
      <w:r w:rsidRPr="00CE3A56">
        <w:rPr>
          <w:rFonts w:ascii="Times New Roman" w:hAnsi="Times New Roman"/>
          <w:kern w:val="24"/>
          <w:sz w:val="24"/>
          <w:szCs w:val="24"/>
          <w:lang w:eastAsia="ca-ES"/>
        </w:rPr>
        <w:t>S</w:t>
      </w:r>
      <w:r w:rsidRPr="00CE3A56">
        <w:rPr>
          <w:rFonts w:ascii="Times New Roman" w:hAnsi="Times New Roman"/>
          <w:kern w:val="24"/>
          <w:position w:val="-7"/>
          <w:sz w:val="24"/>
          <w:szCs w:val="24"/>
          <w:vertAlign w:val="subscript"/>
          <w:lang w:eastAsia="ca-ES"/>
        </w:rPr>
        <w:t>i</w:t>
      </w:r>
      <w:r w:rsidRPr="00CE3A56">
        <w:rPr>
          <w:rFonts w:ascii="Times New Roman" w:hAnsi="Times New Roman"/>
          <w:kern w:val="24"/>
          <w:sz w:val="24"/>
          <w:szCs w:val="24"/>
          <w:lang w:eastAsia="ca-ES"/>
        </w:rPr>
        <w:t xml:space="preserve"> la desviación estándar de la variable j</w:t>
      </w:r>
    </w:p>
    <w:p w14:paraId="250E83AF" w14:textId="77777777" w:rsidR="00E0476E" w:rsidRPr="00CE3A56" w:rsidRDefault="00E0476E" w:rsidP="00431C17">
      <w:pPr>
        <w:spacing w:line="240" w:lineRule="auto"/>
        <w:ind w:firstLine="284"/>
        <w:jc w:val="both"/>
        <w:rPr>
          <w:rFonts w:ascii="Times New Roman" w:hAnsi="Times New Roman"/>
          <w:sz w:val="24"/>
          <w:szCs w:val="24"/>
          <w:lang w:eastAsia="ca-ES"/>
        </w:rPr>
      </w:pPr>
    </w:p>
    <w:p w14:paraId="0FACD393" w14:textId="3B97998F" w:rsidR="00431C17" w:rsidRPr="00E57A4B" w:rsidRDefault="00431C17" w:rsidP="00E57A4B">
      <w:pPr>
        <w:spacing w:line="240" w:lineRule="auto"/>
        <w:ind w:firstLine="284"/>
        <w:jc w:val="both"/>
        <w:rPr>
          <w:rFonts w:ascii="Times New Roman" w:hAnsi="Times New Roman"/>
          <w:i/>
          <w:sz w:val="24"/>
          <w:szCs w:val="26"/>
        </w:rPr>
      </w:pPr>
      <w:r w:rsidRPr="00E57A4B">
        <w:rPr>
          <w:rFonts w:ascii="Times New Roman" w:hAnsi="Times New Roman"/>
          <w:i/>
          <w:sz w:val="24"/>
          <w:szCs w:val="26"/>
        </w:rPr>
        <w:t>1.3.2. Impacto de la formación del personal de las entidades locales en el esfuerzo del personal de asistencia municipal</w:t>
      </w:r>
    </w:p>
    <w:p w14:paraId="3784F03F" w14:textId="594060A3" w:rsidR="008372FF" w:rsidRPr="00CE3A56" w:rsidRDefault="008372FF" w:rsidP="00431C17">
      <w:pPr>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Para analizar la repercusión que tiene la formación organizada por la Unidad de Formación </w:t>
      </w:r>
      <w:r w:rsidR="00E11D44" w:rsidRPr="00CE3A56">
        <w:rPr>
          <w:rFonts w:ascii="Times New Roman" w:hAnsi="Times New Roman"/>
          <w:sz w:val="24"/>
          <w:szCs w:val="24"/>
        </w:rPr>
        <w:t>en relación con el</w:t>
      </w:r>
      <w:r w:rsidRPr="00CE3A56">
        <w:rPr>
          <w:rFonts w:ascii="Times New Roman" w:hAnsi="Times New Roman"/>
          <w:sz w:val="24"/>
          <w:szCs w:val="24"/>
        </w:rPr>
        <w:t xml:space="preserve"> nivel de dedicación del personal de la USE, se parte de los datos establecidos en la definición del modelo y se crea </w:t>
      </w:r>
      <w:r w:rsidR="006E26C7" w:rsidRPr="00CE3A56">
        <w:rPr>
          <w:rFonts w:ascii="Times New Roman" w:hAnsi="Times New Roman"/>
          <w:sz w:val="24"/>
          <w:szCs w:val="24"/>
        </w:rPr>
        <w:t>el</w:t>
      </w:r>
      <w:r w:rsidRPr="00CE3A56">
        <w:rPr>
          <w:rFonts w:ascii="Times New Roman" w:hAnsi="Times New Roman"/>
          <w:sz w:val="24"/>
          <w:szCs w:val="24"/>
        </w:rPr>
        <w:t xml:space="preserve"> índice de esfuerzo.</w:t>
      </w:r>
    </w:p>
    <w:p w14:paraId="02018465" w14:textId="007B45F4" w:rsidR="008372FF" w:rsidRPr="00E57A4B" w:rsidRDefault="00CC01DA" w:rsidP="00E57A4B">
      <w:pPr>
        <w:spacing w:line="240" w:lineRule="auto"/>
        <w:ind w:left="142" w:firstLine="142"/>
        <w:jc w:val="both"/>
        <w:rPr>
          <w:rFonts w:ascii="Times New Roman" w:eastAsiaTheme="minorHAnsi" w:hAnsi="Times New Roman"/>
          <w:i/>
          <w:iCs/>
          <w:sz w:val="24"/>
          <w:szCs w:val="24"/>
        </w:rPr>
      </w:pPr>
      <w:r w:rsidRPr="00E57A4B">
        <w:rPr>
          <w:rFonts w:ascii="Times New Roman" w:eastAsiaTheme="minorHAnsi" w:hAnsi="Times New Roman"/>
          <w:i/>
          <w:iCs/>
          <w:sz w:val="24"/>
          <w:szCs w:val="24"/>
        </w:rPr>
        <w:t xml:space="preserve">    </w:t>
      </w:r>
      <w:r w:rsidR="00E11D44" w:rsidRPr="00E57A4B">
        <w:rPr>
          <w:rFonts w:ascii="Times New Roman" w:eastAsiaTheme="minorHAnsi" w:hAnsi="Times New Roman"/>
          <w:i/>
          <w:iCs/>
          <w:sz w:val="24"/>
          <w:szCs w:val="24"/>
        </w:rPr>
        <w:t>1.3.</w:t>
      </w:r>
      <w:r w:rsidRPr="00E57A4B">
        <w:rPr>
          <w:rFonts w:ascii="Times New Roman" w:eastAsiaTheme="minorHAnsi" w:hAnsi="Times New Roman"/>
          <w:i/>
          <w:iCs/>
          <w:sz w:val="24"/>
          <w:szCs w:val="24"/>
        </w:rPr>
        <w:t>2</w:t>
      </w:r>
      <w:r w:rsidR="00E11D44" w:rsidRPr="00E57A4B">
        <w:rPr>
          <w:rFonts w:ascii="Times New Roman" w:eastAsiaTheme="minorHAnsi" w:hAnsi="Times New Roman"/>
          <w:i/>
          <w:iCs/>
          <w:sz w:val="24"/>
          <w:szCs w:val="24"/>
        </w:rPr>
        <w:t>.</w:t>
      </w:r>
      <w:r w:rsidRPr="00E57A4B">
        <w:rPr>
          <w:rFonts w:ascii="Times New Roman" w:eastAsiaTheme="minorHAnsi" w:hAnsi="Times New Roman"/>
          <w:i/>
          <w:iCs/>
          <w:sz w:val="24"/>
          <w:szCs w:val="24"/>
        </w:rPr>
        <w:t>1.</w:t>
      </w:r>
      <w:r w:rsidR="00E11D44" w:rsidRPr="00E57A4B">
        <w:rPr>
          <w:rFonts w:ascii="Times New Roman" w:eastAsiaTheme="minorHAnsi" w:hAnsi="Times New Roman"/>
          <w:i/>
          <w:iCs/>
          <w:sz w:val="24"/>
          <w:szCs w:val="24"/>
        </w:rPr>
        <w:t xml:space="preserve"> Definición de indicadores</w:t>
      </w:r>
    </w:p>
    <w:p w14:paraId="0F40D290" w14:textId="28C6D6BA" w:rsidR="008372FF" w:rsidRPr="00CE3A56" w:rsidRDefault="008372FF" w:rsidP="00E11D44">
      <w:pPr>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El índice de esfuerzo </w:t>
      </w:r>
      <w:r w:rsidR="006E26C7" w:rsidRPr="00CE3A56">
        <w:rPr>
          <w:rFonts w:ascii="Times New Roman" w:hAnsi="Times New Roman"/>
          <w:sz w:val="24"/>
          <w:szCs w:val="24"/>
        </w:rPr>
        <w:t>está formado por</w:t>
      </w:r>
      <w:r w:rsidRPr="00CE3A56">
        <w:rPr>
          <w:rFonts w:ascii="Times New Roman" w:hAnsi="Times New Roman"/>
          <w:sz w:val="24"/>
          <w:szCs w:val="24"/>
        </w:rPr>
        <w:t xml:space="preserve"> los siguientes </w:t>
      </w:r>
      <w:r w:rsidRPr="00CE3A56">
        <w:rPr>
          <w:rFonts w:ascii="Times New Roman" w:hAnsi="Times New Roman"/>
          <w:b/>
          <w:bCs/>
          <w:sz w:val="24"/>
          <w:szCs w:val="24"/>
        </w:rPr>
        <w:t>indicadores</w:t>
      </w:r>
      <w:r w:rsidRPr="00CE3A56">
        <w:rPr>
          <w:rFonts w:ascii="Times New Roman" w:hAnsi="Times New Roman"/>
          <w:sz w:val="24"/>
          <w:szCs w:val="24"/>
        </w:rPr>
        <w:t>:</w:t>
      </w:r>
    </w:p>
    <w:p w14:paraId="44DA96D0" w14:textId="77DEFAB1" w:rsidR="008372FF" w:rsidRPr="00CE3A56" w:rsidRDefault="008372FF" w:rsidP="00E11D44">
      <w:pPr>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1. </w:t>
      </w:r>
      <w:r w:rsidR="006E26C7" w:rsidRPr="00CE3A56">
        <w:rPr>
          <w:rFonts w:ascii="Times New Roman" w:hAnsi="Times New Roman"/>
          <w:sz w:val="24"/>
          <w:szCs w:val="24"/>
        </w:rPr>
        <w:t>N</w:t>
      </w:r>
      <w:r w:rsidRPr="00CE3A56">
        <w:rPr>
          <w:rFonts w:ascii="Times New Roman" w:hAnsi="Times New Roman"/>
          <w:b/>
          <w:bCs/>
          <w:sz w:val="24"/>
          <w:szCs w:val="24"/>
        </w:rPr>
        <w:t>úmero de asistencias</w:t>
      </w:r>
      <w:r w:rsidRPr="00CE3A56">
        <w:rPr>
          <w:rFonts w:ascii="Times New Roman" w:hAnsi="Times New Roman"/>
          <w:sz w:val="24"/>
          <w:szCs w:val="24"/>
        </w:rPr>
        <w:t xml:space="preserve"> anuales que el personal de la unidad ha realizado en cada entidad local.</w:t>
      </w:r>
    </w:p>
    <w:p w14:paraId="4C852C7F" w14:textId="6BD3CA82" w:rsidR="00E0476E" w:rsidRPr="00CE3A56" w:rsidRDefault="008372FF" w:rsidP="00E0476E">
      <w:pPr>
        <w:pStyle w:val="NormalWeb"/>
        <w:spacing w:after="200" w:afterAutospacing="0"/>
        <w:ind w:firstLine="284"/>
        <w:jc w:val="both"/>
        <w:rPr>
          <w:rFonts w:eastAsiaTheme="minorHAnsi"/>
          <w:lang w:eastAsia="en-US"/>
        </w:rPr>
      </w:pPr>
      <w:r w:rsidRPr="00CE3A56">
        <w:t xml:space="preserve">2. </w:t>
      </w:r>
      <w:r w:rsidR="006E26C7" w:rsidRPr="00CE3A56">
        <w:t>C</w:t>
      </w:r>
      <w:r w:rsidRPr="00CE3A56">
        <w:rPr>
          <w:b/>
          <w:bCs/>
        </w:rPr>
        <w:t>apacitación del personal</w:t>
      </w:r>
      <w:r w:rsidRPr="00CE3A56">
        <w:t xml:space="preserve"> de las entidades.</w:t>
      </w:r>
      <w:r w:rsidR="00E0476E" w:rsidRPr="00CE3A56">
        <w:rPr>
          <w:rFonts w:eastAsiaTheme="minorHAnsi"/>
          <w:b/>
          <w:bCs/>
          <w:lang w:eastAsia="en-US"/>
        </w:rPr>
        <w:t xml:space="preserve"> La capacitación del personal de las entidades locales en términos contables, presupuestarios y de tramitación administrativa.</w:t>
      </w:r>
      <w:r w:rsidR="00E0476E" w:rsidRPr="00CE3A56">
        <w:rPr>
          <w:rFonts w:eastAsiaTheme="minorHAnsi"/>
          <w:lang w:eastAsia="en-US"/>
        </w:rPr>
        <w:t xml:space="preserve"> Se ha valorado mediante unos parámetros y criterios determinados, la capacitación del personal de la entidad local con una nota de entre 1 a 5, siendo 1 la valoración inferior y 5 la superior.</w:t>
      </w:r>
    </w:p>
    <w:p w14:paraId="5AA95572" w14:textId="147B2590" w:rsidR="008372FF" w:rsidRPr="00CE3A56" w:rsidRDefault="008372FF" w:rsidP="00E11D44">
      <w:pPr>
        <w:spacing w:line="240" w:lineRule="auto"/>
        <w:ind w:firstLine="284"/>
        <w:jc w:val="both"/>
        <w:rPr>
          <w:rFonts w:ascii="Times New Roman" w:hAnsi="Times New Roman"/>
          <w:sz w:val="24"/>
          <w:szCs w:val="24"/>
        </w:rPr>
      </w:pPr>
      <w:r w:rsidRPr="00CE3A56">
        <w:rPr>
          <w:rFonts w:ascii="Times New Roman" w:hAnsi="Times New Roman"/>
          <w:sz w:val="24"/>
          <w:szCs w:val="24"/>
        </w:rPr>
        <w:t>Estos indicadores se han normalizado por la media aritmética teniendo en cuenta su impacto en el índice de esfuerzo:</w:t>
      </w:r>
    </w:p>
    <w:p w14:paraId="2D3FDE91" w14:textId="275F1F8C" w:rsidR="008372FF" w:rsidRPr="00CE3A56" w:rsidRDefault="008372FF" w:rsidP="00E11D44">
      <w:pPr>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 A más asistencias, más esfuerzo para la unidad: el indicador </w:t>
      </w:r>
      <w:r w:rsidR="006E26C7" w:rsidRPr="00CE3A56">
        <w:rPr>
          <w:rFonts w:ascii="Times New Roman" w:hAnsi="Times New Roman"/>
          <w:sz w:val="24"/>
          <w:szCs w:val="24"/>
        </w:rPr>
        <w:t xml:space="preserve">se ha </w:t>
      </w:r>
      <w:r w:rsidRPr="00CE3A56">
        <w:rPr>
          <w:rFonts w:ascii="Times New Roman" w:hAnsi="Times New Roman"/>
          <w:sz w:val="24"/>
          <w:szCs w:val="24"/>
        </w:rPr>
        <w:t>ponder</w:t>
      </w:r>
      <w:r w:rsidR="006E26C7" w:rsidRPr="00CE3A56">
        <w:rPr>
          <w:rFonts w:ascii="Times New Roman" w:hAnsi="Times New Roman"/>
          <w:sz w:val="24"/>
          <w:szCs w:val="24"/>
        </w:rPr>
        <w:t>ad</w:t>
      </w:r>
      <w:r w:rsidRPr="00CE3A56">
        <w:rPr>
          <w:rFonts w:ascii="Times New Roman" w:hAnsi="Times New Roman"/>
          <w:sz w:val="24"/>
          <w:szCs w:val="24"/>
        </w:rPr>
        <w:t>o por la media aritmética del número de asistencias para que cuanto más elevado sea, indique que hay que hacer más esfuerzo.</w:t>
      </w:r>
    </w:p>
    <w:p w14:paraId="65B70E06" w14:textId="17822428" w:rsidR="008372FF" w:rsidRPr="005244AA" w:rsidRDefault="008372FF" w:rsidP="00CC2C8A">
      <w:pPr>
        <w:spacing w:before="100" w:line="240" w:lineRule="auto"/>
        <w:ind w:left="1080" w:firstLine="284"/>
        <w:jc w:val="both"/>
        <w:rPr>
          <w:rFonts w:ascii="Times New Roman" w:hAnsi="Times New Roman"/>
          <w:sz w:val="20"/>
          <w:szCs w:val="20"/>
        </w:rPr>
      </w:pPr>
      <m:oMathPara>
        <m:oMath>
          <m:r>
            <w:rPr>
              <w:rFonts w:ascii="Cambria Math" w:hAnsi="Cambria Math"/>
              <w:sz w:val="20"/>
              <w:szCs w:val="20"/>
            </w:rPr>
            <w:lastRenderedPageBreak/>
            <m:t xml:space="preserve">A= </m:t>
          </m:r>
          <m:f>
            <m:fPr>
              <m:ctrlPr>
                <w:rPr>
                  <w:rFonts w:ascii="Cambria Math" w:hAnsi="Cambria Math"/>
                  <w:i/>
                  <w:sz w:val="20"/>
                  <w:szCs w:val="20"/>
                </w:rPr>
              </m:ctrlPr>
            </m:fPr>
            <m:num>
              <m:r>
                <w:rPr>
                  <w:rFonts w:ascii="Cambria Math" w:hAnsi="Cambria Math"/>
                  <w:sz w:val="20"/>
                  <w:szCs w:val="20"/>
                </w:rPr>
                <m:t>Número de asistencias realizadas a la entidad local</m:t>
              </m:r>
            </m:num>
            <m:den>
              <m:r>
                <w:rPr>
                  <w:rFonts w:ascii="Cambria Math" w:hAnsi="Cambria Math"/>
                  <w:sz w:val="20"/>
                  <w:szCs w:val="20"/>
                </w:rPr>
                <m:t>Media aritmética de las asistencias</m:t>
              </m:r>
            </m:den>
          </m:f>
        </m:oMath>
      </m:oMathPara>
    </w:p>
    <w:p w14:paraId="3AA1EB99" w14:textId="3F0090C5" w:rsidR="008372FF" w:rsidRPr="00CE3A56" w:rsidRDefault="008372FF" w:rsidP="00E11D44">
      <w:pPr>
        <w:spacing w:line="240" w:lineRule="auto"/>
        <w:ind w:firstLine="284"/>
        <w:jc w:val="both"/>
        <w:rPr>
          <w:rFonts w:ascii="Times New Roman" w:hAnsi="Times New Roman"/>
          <w:sz w:val="24"/>
          <w:szCs w:val="24"/>
        </w:rPr>
      </w:pPr>
      <w:r w:rsidRPr="00CE3A56">
        <w:rPr>
          <w:rFonts w:ascii="Times New Roman" w:hAnsi="Times New Roman"/>
          <w:sz w:val="24"/>
          <w:szCs w:val="24"/>
        </w:rPr>
        <w:t>- A meno</w:t>
      </w:r>
      <w:r w:rsidR="006E26C7" w:rsidRPr="00CE3A56">
        <w:rPr>
          <w:rFonts w:ascii="Times New Roman" w:hAnsi="Times New Roman"/>
          <w:sz w:val="24"/>
          <w:szCs w:val="24"/>
        </w:rPr>
        <w:t>r</w:t>
      </w:r>
      <w:r w:rsidRPr="00CE3A56">
        <w:rPr>
          <w:rFonts w:ascii="Times New Roman" w:hAnsi="Times New Roman"/>
          <w:sz w:val="24"/>
          <w:szCs w:val="24"/>
        </w:rPr>
        <w:t xml:space="preserve"> capacitación del personal de las entidades locales, más esfuerzo para la unidad: se ha dividido la media de las capacitaciones de los trabajadores por el indicador para que cuanto más elevado sea indique que hay que hacer menos esfuerzo.</w:t>
      </w:r>
    </w:p>
    <w:p w14:paraId="70D82A3D" w14:textId="28F75F86" w:rsidR="008372FF" w:rsidRPr="00CE3A56" w:rsidRDefault="008372FF" w:rsidP="00E11D44">
      <w:pPr>
        <w:spacing w:before="100" w:line="240" w:lineRule="auto"/>
        <w:ind w:left="1080" w:firstLine="284"/>
        <w:jc w:val="both"/>
        <w:rPr>
          <w:rFonts w:ascii="Times New Roman" w:hAnsi="Times New Roman"/>
          <w:sz w:val="24"/>
          <w:szCs w:val="24"/>
        </w:rPr>
      </w:pPr>
      <m:oMathPara>
        <m:oMath>
          <m:r>
            <w:rPr>
              <w:rFonts w:ascii="Cambria Math" w:hAnsi="Cambria Math"/>
            </w:rPr>
            <m:t xml:space="preserve">Q = </m:t>
          </m:r>
          <m:f>
            <m:fPr>
              <m:ctrlPr>
                <w:rPr>
                  <w:rFonts w:ascii="Cambria Math" w:hAnsi="Cambria Math"/>
                  <w:i/>
                </w:rPr>
              </m:ctrlPr>
            </m:fPr>
            <m:num>
              <m:r>
                <w:rPr>
                  <w:rFonts w:ascii="Cambria Math" w:hAnsi="Cambria Math"/>
                </w:rPr>
                <m:t>Media aritmética de las capacitaciones de los trabajadores de las entidades locales</m:t>
              </m:r>
            </m:num>
            <m:den>
              <m:r>
                <w:rPr>
                  <w:rFonts w:ascii="Cambria Math" w:hAnsi="Cambria Math"/>
                </w:rPr>
                <m:t>Capacitación del trabajador de entidad local</m:t>
              </m:r>
            </m:den>
          </m:f>
        </m:oMath>
      </m:oMathPara>
    </w:p>
    <w:p w14:paraId="2FD96850" w14:textId="77777777" w:rsidR="008372FF" w:rsidRPr="00CE3A56" w:rsidRDefault="008372FF" w:rsidP="00E11D44">
      <w:pPr>
        <w:spacing w:line="240" w:lineRule="auto"/>
        <w:ind w:firstLine="284"/>
        <w:jc w:val="both"/>
        <w:rPr>
          <w:rFonts w:ascii="Times New Roman" w:hAnsi="Times New Roman"/>
          <w:sz w:val="24"/>
          <w:szCs w:val="24"/>
        </w:rPr>
      </w:pPr>
    </w:p>
    <w:p w14:paraId="42838C2B" w14:textId="104BA021" w:rsidR="008372FF" w:rsidRPr="00CE3A56" w:rsidRDefault="008372FF" w:rsidP="00E11D44">
      <w:pPr>
        <w:spacing w:before="100" w:line="240" w:lineRule="auto"/>
        <w:ind w:firstLine="284"/>
        <w:jc w:val="both"/>
        <w:rPr>
          <w:rFonts w:ascii="Times New Roman" w:hAnsi="Times New Roman"/>
          <w:sz w:val="24"/>
          <w:szCs w:val="24"/>
        </w:rPr>
      </w:pPr>
      <w:r w:rsidRPr="00CE3A56">
        <w:rPr>
          <w:rFonts w:ascii="Times New Roman" w:hAnsi="Times New Roman"/>
          <w:sz w:val="24"/>
          <w:szCs w:val="24"/>
        </w:rPr>
        <w:t>El índice de esfuerzo se determina por la conjunción de los dos indicadores:</w:t>
      </w:r>
    </w:p>
    <w:p w14:paraId="4BA535EC" w14:textId="77777777" w:rsidR="008372FF" w:rsidRPr="00CE3A56" w:rsidRDefault="008372FF" w:rsidP="00E11D44">
      <w:pPr>
        <w:spacing w:before="100" w:line="240" w:lineRule="auto"/>
        <w:ind w:firstLine="284"/>
        <w:jc w:val="center"/>
        <w:rPr>
          <w:rFonts w:ascii="Times New Roman" w:hAnsi="Times New Roman"/>
          <w:sz w:val="24"/>
          <w:szCs w:val="24"/>
        </w:rPr>
      </w:pPr>
      <m:oMathPara>
        <m:oMath>
          <m:r>
            <w:rPr>
              <w:rFonts w:ascii="Cambria Math" w:hAnsi="Cambria Math"/>
              <w:sz w:val="24"/>
              <w:szCs w:val="24"/>
            </w:rPr>
            <m:t>IEi=Ai x Qi</m:t>
          </m:r>
        </m:oMath>
      </m:oMathPara>
    </w:p>
    <w:p w14:paraId="1C127295" w14:textId="01269AD8" w:rsidR="008372FF" w:rsidRPr="00CE3A56" w:rsidRDefault="004963EF" w:rsidP="00E11D44">
      <w:pPr>
        <w:spacing w:line="240" w:lineRule="auto"/>
        <w:ind w:firstLine="284"/>
        <w:jc w:val="both"/>
        <w:rPr>
          <w:rFonts w:ascii="Times New Roman" w:hAnsi="Times New Roman"/>
          <w:sz w:val="24"/>
          <w:szCs w:val="24"/>
        </w:rPr>
      </w:pPr>
      <w:r w:rsidRPr="00CE3A56">
        <w:rPr>
          <w:rFonts w:ascii="Times New Roman" w:hAnsi="Times New Roman"/>
          <w:sz w:val="24"/>
          <w:szCs w:val="24"/>
        </w:rPr>
        <w:t>C</w:t>
      </w:r>
      <w:r w:rsidR="008372FF" w:rsidRPr="00CE3A56">
        <w:rPr>
          <w:rFonts w:ascii="Times New Roman" w:hAnsi="Times New Roman"/>
          <w:sz w:val="24"/>
          <w:szCs w:val="24"/>
        </w:rPr>
        <w:t>uanto más elevado sea el valor del índice, más esfuerzo a realizar por el personal de la Unidad de Soporte Económico en la prestación del servicio de asistencia a la entidad local.</w:t>
      </w:r>
    </w:p>
    <w:p w14:paraId="0AC27B6C" w14:textId="31A06DF2" w:rsidR="008372FF" w:rsidRPr="00E57A4B" w:rsidRDefault="00E11D44" w:rsidP="00E57A4B">
      <w:pPr>
        <w:spacing w:line="240" w:lineRule="auto"/>
        <w:ind w:left="142" w:firstLine="142"/>
        <w:jc w:val="both"/>
        <w:rPr>
          <w:rFonts w:ascii="Times New Roman" w:eastAsiaTheme="minorHAnsi" w:hAnsi="Times New Roman"/>
          <w:i/>
          <w:iCs/>
          <w:sz w:val="24"/>
          <w:szCs w:val="24"/>
        </w:rPr>
      </w:pPr>
      <w:bookmarkStart w:id="0" w:name="_Hlk73543872"/>
      <w:r w:rsidRPr="00E57A4B">
        <w:rPr>
          <w:rFonts w:ascii="Times New Roman" w:eastAsiaTheme="minorHAnsi" w:hAnsi="Times New Roman"/>
          <w:i/>
          <w:iCs/>
          <w:sz w:val="24"/>
          <w:szCs w:val="24"/>
        </w:rPr>
        <w:t>1.3.</w:t>
      </w:r>
      <w:r w:rsidR="00CC01DA" w:rsidRPr="00E57A4B">
        <w:rPr>
          <w:rFonts w:ascii="Times New Roman" w:eastAsiaTheme="minorHAnsi" w:hAnsi="Times New Roman"/>
          <w:i/>
          <w:iCs/>
          <w:sz w:val="24"/>
          <w:szCs w:val="24"/>
        </w:rPr>
        <w:t>2</w:t>
      </w:r>
      <w:r w:rsidRPr="00E57A4B">
        <w:rPr>
          <w:rFonts w:ascii="Times New Roman" w:eastAsiaTheme="minorHAnsi" w:hAnsi="Times New Roman"/>
          <w:i/>
          <w:iCs/>
          <w:sz w:val="24"/>
          <w:szCs w:val="24"/>
        </w:rPr>
        <w:t>.</w:t>
      </w:r>
      <w:r w:rsidR="00CC01DA" w:rsidRPr="00E57A4B">
        <w:rPr>
          <w:rFonts w:ascii="Times New Roman" w:eastAsiaTheme="minorHAnsi" w:hAnsi="Times New Roman"/>
          <w:i/>
          <w:iCs/>
          <w:sz w:val="24"/>
          <w:szCs w:val="24"/>
        </w:rPr>
        <w:t>2.</w:t>
      </w:r>
      <w:r w:rsidRPr="00E57A4B">
        <w:rPr>
          <w:rFonts w:ascii="Times New Roman" w:eastAsiaTheme="minorHAnsi" w:hAnsi="Times New Roman"/>
          <w:i/>
          <w:iCs/>
          <w:sz w:val="24"/>
          <w:szCs w:val="24"/>
        </w:rPr>
        <w:t xml:space="preserve"> Análisis del índice de esfuerzo</w:t>
      </w:r>
      <w:r w:rsidR="00CC01DA" w:rsidRPr="00E57A4B">
        <w:rPr>
          <w:rFonts w:ascii="Times New Roman" w:eastAsiaTheme="minorHAnsi" w:hAnsi="Times New Roman"/>
          <w:i/>
          <w:iCs/>
          <w:sz w:val="24"/>
          <w:szCs w:val="24"/>
        </w:rPr>
        <w:t xml:space="preserve"> </w:t>
      </w:r>
    </w:p>
    <w:bookmarkEnd w:id="0"/>
    <w:p w14:paraId="6205A809" w14:textId="21B0F643" w:rsidR="008372FF" w:rsidRDefault="008372FF" w:rsidP="00EB169A">
      <w:pPr>
        <w:spacing w:line="240" w:lineRule="auto"/>
        <w:ind w:firstLine="284"/>
        <w:jc w:val="both"/>
        <w:rPr>
          <w:rFonts w:ascii="Times New Roman" w:hAnsi="Times New Roman"/>
          <w:sz w:val="24"/>
          <w:szCs w:val="24"/>
        </w:rPr>
      </w:pPr>
      <w:r w:rsidRPr="00CE3A56">
        <w:rPr>
          <w:rFonts w:ascii="Times New Roman" w:hAnsi="Times New Roman"/>
          <w:sz w:val="24"/>
          <w:szCs w:val="24"/>
        </w:rPr>
        <w:t>Una vez definidos los indicadores se ha calculado el índice de esfuerzo las entidades locales a las que se presta asistencia. Se detalla a continuación una muestra de los resultados de las entidades locales que requieren más esfuerzo.</w:t>
      </w:r>
      <w:r w:rsidR="00CC01DA" w:rsidRPr="00CE3A56">
        <w:rPr>
          <w:rFonts w:ascii="Times New Roman" w:hAnsi="Times New Roman"/>
          <w:sz w:val="24"/>
          <w:szCs w:val="24"/>
        </w:rPr>
        <w:t xml:space="preserve"> </w:t>
      </w:r>
    </w:p>
    <w:p w14:paraId="7BA68CC8" w14:textId="3F73DBC1" w:rsidR="00BF5D53" w:rsidRDefault="00BF5D53" w:rsidP="00EB169A">
      <w:pPr>
        <w:spacing w:line="240" w:lineRule="auto"/>
        <w:ind w:firstLine="284"/>
        <w:jc w:val="both"/>
        <w:rPr>
          <w:rFonts w:ascii="Times New Roman" w:hAnsi="Times New Roman"/>
          <w:sz w:val="24"/>
          <w:szCs w:val="24"/>
        </w:rPr>
      </w:pPr>
    </w:p>
    <w:p w14:paraId="6962076B" w14:textId="647DDEDE" w:rsidR="00BF5D53" w:rsidRPr="00BB5412" w:rsidRDefault="00BF5D53" w:rsidP="00BF5D53">
      <w:pPr>
        <w:spacing w:line="240" w:lineRule="auto"/>
        <w:jc w:val="center"/>
        <w:rPr>
          <w:rFonts w:ascii="Times New Roman" w:hAnsi="Times New Roman"/>
          <w:sz w:val="20"/>
          <w:szCs w:val="20"/>
        </w:rPr>
      </w:pPr>
      <w:r>
        <w:rPr>
          <w:rFonts w:ascii="Times New Roman" w:hAnsi="Times New Roman"/>
          <w:b/>
          <w:sz w:val="20"/>
          <w:szCs w:val="20"/>
        </w:rPr>
        <w:t>Tabl</w:t>
      </w:r>
      <w:r w:rsidRPr="00BB5412">
        <w:rPr>
          <w:rFonts w:ascii="Times New Roman" w:hAnsi="Times New Roman"/>
          <w:b/>
          <w:sz w:val="20"/>
          <w:szCs w:val="20"/>
        </w:rPr>
        <w:t>a 1</w:t>
      </w:r>
      <w:r>
        <w:rPr>
          <w:rFonts w:ascii="Times New Roman" w:hAnsi="Times New Roman"/>
          <w:b/>
          <w:sz w:val="20"/>
          <w:szCs w:val="20"/>
        </w:rPr>
        <w:t>.</w:t>
      </w:r>
      <w:r w:rsidRPr="00BB5412">
        <w:rPr>
          <w:rFonts w:ascii="Times New Roman" w:hAnsi="Times New Roman"/>
          <w:sz w:val="20"/>
          <w:szCs w:val="20"/>
        </w:rPr>
        <w:t xml:space="preserve"> </w:t>
      </w:r>
      <w:r>
        <w:rPr>
          <w:rFonts w:ascii="Times New Roman" w:hAnsi="Times New Roman"/>
          <w:sz w:val="20"/>
          <w:szCs w:val="20"/>
        </w:rPr>
        <w:t>Índice de esfuerzo</w:t>
      </w:r>
    </w:p>
    <w:bookmarkStart w:id="1" w:name="_MON_1691996075"/>
    <w:bookmarkEnd w:id="1"/>
    <w:p w14:paraId="0E0C5E41" w14:textId="15F9008A" w:rsidR="008372FF" w:rsidRPr="00CE3A56" w:rsidRDefault="002A429A" w:rsidP="008372FF">
      <w:pPr>
        <w:spacing w:after="120" w:line="360" w:lineRule="auto"/>
        <w:jc w:val="center"/>
        <w:rPr>
          <w:rFonts w:ascii="Times New Roman" w:hAnsi="Times New Roman"/>
          <w:sz w:val="24"/>
          <w:szCs w:val="24"/>
        </w:rPr>
      </w:pPr>
      <w:r w:rsidRPr="00CE3A56">
        <w:rPr>
          <w:rFonts w:ascii="Times New Roman" w:hAnsi="Times New Roman"/>
          <w:sz w:val="24"/>
          <w:szCs w:val="24"/>
        </w:rPr>
        <w:object w:dxaOrig="7227" w:dyaOrig="3103" w14:anchorId="0BF8B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51.5pt" o:ole="">
            <v:imagedata r:id="rId8" o:title=""/>
          </v:shape>
          <o:OLEObject Type="Embed" ProgID="Excel.Sheet.12" ShapeID="_x0000_i1025" DrawAspect="Content" ObjectID="_1735124581" r:id="rId9"/>
        </w:object>
      </w:r>
    </w:p>
    <w:p w14:paraId="0B889632" w14:textId="77777777" w:rsidR="008372FF" w:rsidRPr="00E57A4B" w:rsidRDefault="008372FF" w:rsidP="00E57A4B">
      <w:pPr>
        <w:spacing w:line="240" w:lineRule="auto"/>
        <w:ind w:firstLine="284"/>
        <w:jc w:val="both"/>
        <w:rPr>
          <w:rFonts w:ascii="Times New Roman" w:hAnsi="Times New Roman"/>
          <w:i/>
          <w:sz w:val="24"/>
          <w:szCs w:val="26"/>
        </w:rPr>
      </w:pPr>
    </w:p>
    <w:p w14:paraId="4FA1FF4F" w14:textId="2AE5C4C5" w:rsidR="0054635D" w:rsidRPr="00E57A4B" w:rsidRDefault="00EB169A" w:rsidP="00E57A4B">
      <w:pPr>
        <w:spacing w:line="240" w:lineRule="auto"/>
        <w:ind w:firstLine="284"/>
        <w:jc w:val="both"/>
        <w:rPr>
          <w:rFonts w:ascii="Times New Roman" w:hAnsi="Times New Roman"/>
          <w:i/>
          <w:sz w:val="24"/>
          <w:szCs w:val="26"/>
        </w:rPr>
      </w:pPr>
      <w:r w:rsidRPr="00E57A4B">
        <w:rPr>
          <w:rFonts w:ascii="Times New Roman" w:hAnsi="Times New Roman"/>
          <w:i/>
          <w:sz w:val="24"/>
          <w:szCs w:val="26"/>
        </w:rPr>
        <w:t>1.3.</w:t>
      </w:r>
      <w:r w:rsidR="00CC01DA" w:rsidRPr="00E57A4B">
        <w:rPr>
          <w:rFonts w:ascii="Times New Roman" w:hAnsi="Times New Roman"/>
          <w:i/>
          <w:sz w:val="24"/>
          <w:szCs w:val="26"/>
        </w:rPr>
        <w:t>3</w:t>
      </w:r>
      <w:r w:rsidRPr="00E57A4B">
        <w:rPr>
          <w:rFonts w:ascii="Times New Roman" w:hAnsi="Times New Roman"/>
          <w:i/>
          <w:sz w:val="24"/>
          <w:szCs w:val="26"/>
        </w:rPr>
        <w:t xml:space="preserve">. </w:t>
      </w:r>
      <w:r w:rsidR="0054635D" w:rsidRPr="00E57A4B">
        <w:rPr>
          <w:rFonts w:ascii="Times New Roman" w:hAnsi="Times New Roman"/>
          <w:i/>
          <w:sz w:val="24"/>
          <w:szCs w:val="26"/>
        </w:rPr>
        <w:t>Impacto de la formación del personal de las entitades locales en el grado de saneamiento de la propia entidad</w:t>
      </w:r>
    </w:p>
    <w:p w14:paraId="383832A2" w14:textId="77777777" w:rsidR="008372FF" w:rsidRPr="00B93358" w:rsidRDefault="008372FF" w:rsidP="00CC2C8A">
      <w:pPr>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Para analizar la repercusión que tiene la formación del personal de las entidades locales en su grado de saneamiento se parte de los datos establecidos en la definición del modelo y se crea un índice </w:t>
      </w:r>
      <w:r w:rsidRPr="00B93358">
        <w:rPr>
          <w:rFonts w:ascii="Times New Roman" w:hAnsi="Times New Roman"/>
          <w:sz w:val="24"/>
          <w:szCs w:val="24"/>
        </w:rPr>
        <w:t>de saneamiento.</w:t>
      </w:r>
    </w:p>
    <w:p w14:paraId="5EFB3915" w14:textId="646B82F0" w:rsidR="008372FF" w:rsidRPr="00E57A4B" w:rsidRDefault="00B93358" w:rsidP="00E57A4B">
      <w:pPr>
        <w:spacing w:line="240" w:lineRule="auto"/>
        <w:ind w:left="142" w:firstLine="142"/>
        <w:jc w:val="both"/>
        <w:rPr>
          <w:rFonts w:ascii="Times New Roman" w:eastAsiaTheme="minorHAnsi" w:hAnsi="Times New Roman"/>
          <w:i/>
          <w:iCs/>
          <w:sz w:val="24"/>
          <w:szCs w:val="24"/>
        </w:rPr>
      </w:pPr>
      <w:r w:rsidRPr="00E57A4B">
        <w:rPr>
          <w:rFonts w:ascii="Times New Roman" w:eastAsiaTheme="minorHAnsi" w:hAnsi="Times New Roman"/>
          <w:i/>
          <w:iCs/>
          <w:sz w:val="24"/>
          <w:szCs w:val="24"/>
        </w:rPr>
        <w:t xml:space="preserve"> </w:t>
      </w:r>
      <w:r w:rsidR="00E57A4B">
        <w:rPr>
          <w:rFonts w:ascii="Times New Roman" w:eastAsiaTheme="minorHAnsi" w:hAnsi="Times New Roman"/>
          <w:i/>
          <w:iCs/>
          <w:sz w:val="24"/>
          <w:szCs w:val="24"/>
        </w:rPr>
        <w:t xml:space="preserve">1.3.3.1. </w:t>
      </w:r>
      <w:r w:rsidRPr="00E57A4B">
        <w:rPr>
          <w:rFonts w:ascii="Times New Roman" w:eastAsiaTheme="minorHAnsi" w:hAnsi="Times New Roman"/>
          <w:i/>
          <w:iCs/>
          <w:sz w:val="24"/>
          <w:szCs w:val="24"/>
        </w:rPr>
        <w:t>Definición de indicadores</w:t>
      </w:r>
    </w:p>
    <w:p w14:paraId="66C9B85D" w14:textId="089C17F4" w:rsidR="008372FF" w:rsidRPr="00CE3A56" w:rsidRDefault="008372FF" w:rsidP="00CC2C8A">
      <w:pPr>
        <w:spacing w:line="240" w:lineRule="auto"/>
        <w:ind w:firstLine="284"/>
        <w:jc w:val="both"/>
        <w:rPr>
          <w:rFonts w:ascii="Times New Roman" w:hAnsi="Times New Roman"/>
          <w:sz w:val="24"/>
          <w:szCs w:val="24"/>
        </w:rPr>
      </w:pPr>
      <w:r w:rsidRPr="00B93358">
        <w:rPr>
          <w:rFonts w:ascii="Times New Roman" w:hAnsi="Times New Roman"/>
          <w:sz w:val="24"/>
          <w:szCs w:val="24"/>
        </w:rPr>
        <w:t xml:space="preserve">El índice de saneamiento mide el grado de solvencia de la entidad local </w:t>
      </w:r>
      <w:r w:rsidR="006E26C7" w:rsidRPr="00B93358">
        <w:rPr>
          <w:rFonts w:ascii="Times New Roman" w:hAnsi="Times New Roman"/>
          <w:sz w:val="24"/>
          <w:szCs w:val="24"/>
        </w:rPr>
        <w:t>mediante</w:t>
      </w:r>
      <w:r w:rsidRPr="00B93358">
        <w:rPr>
          <w:rFonts w:ascii="Times New Roman" w:hAnsi="Times New Roman"/>
          <w:sz w:val="24"/>
          <w:szCs w:val="24"/>
        </w:rPr>
        <w:t xml:space="preserve"> los siguientes </w:t>
      </w:r>
      <w:r w:rsidRPr="00B93358">
        <w:rPr>
          <w:rFonts w:ascii="Times New Roman" w:hAnsi="Times New Roman"/>
          <w:b/>
          <w:bCs/>
          <w:sz w:val="24"/>
          <w:szCs w:val="24"/>
        </w:rPr>
        <w:t>indicadores</w:t>
      </w:r>
      <w:r w:rsidR="00E0476E" w:rsidRPr="00B93358">
        <w:rPr>
          <w:rFonts w:ascii="Times New Roman" w:hAnsi="Times New Roman"/>
          <w:b/>
          <w:bCs/>
          <w:sz w:val="24"/>
          <w:szCs w:val="24"/>
        </w:rPr>
        <w:t xml:space="preserve"> económicos</w:t>
      </w:r>
      <w:r w:rsidRPr="00CE3A56">
        <w:rPr>
          <w:rFonts w:ascii="Times New Roman" w:hAnsi="Times New Roman"/>
          <w:sz w:val="24"/>
          <w:szCs w:val="24"/>
        </w:rPr>
        <w:t>:</w:t>
      </w:r>
    </w:p>
    <w:p w14:paraId="63B2AA8A" w14:textId="694AD80A" w:rsidR="008372FF" w:rsidRPr="00CE3A56" w:rsidRDefault="008372FF" w:rsidP="00CC2C8A">
      <w:pPr>
        <w:spacing w:line="240" w:lineRule="auto"/>
        <w:ind w:left="708" w:firstLine="284"/>
        <w:jc w:val="both"/>
        <w:rPr>
          <w:rFonts w:ascii="Times New Roman" w:hAnsi="Times New Roman"/>
          <w:sz w:val="24"/>
          <w:szCs w:val="24"/>
        </w:rPr>
      </w:pPr>
      <w:r w:rsidRPr="00CE3A56">
        <w:rPr>
          <w:rFonts w:ascii="Times New Roman" w:hAnsi="Times New Roman"/>
          <w:sz w:val="24"/>
          <w:szCs w:val="24"/>
        </w:rPr>
        <w:lastRenderedPageBreak/>
        <w:t xml:space="preserve">1. </w:t>
      </w:r>
      <w:r w:rsidR="006E26C7" w:rsidRPr="00CE3A56">
        <w:rPr>
          <w:rFonts w:ascii="Times New Roman" w:hAnsi="Times New Roman"/>
          <w:sz w:val="24"/>
          <w:szCs w:val="24"/>
        </w:rPr>
        <w:t>R</w:t>
      </w:r>
      <w:r w:rsidRPr="00CE3A56">
        <w:rPr>
          <w:rFonts w:ascii="Times New Roman" w:hAnsi="Times New Roman"/>
          <w:sz w:val="24"/>
          <w:szCs w:val="24"/>
        </w:rPr>
        <w:t>atio de deuda viva.</w:t>
      </w:r>
    </w:p>
    <w:p w14:paraId="58455968" w14:textId="335D4B43" w:rsidR="008372FF" w:rsidRPr="00CE3A56" w:rsidRDefault="008372FF" w:rsidP="00CC2C8A">
      <w:pPr>
        <w:spacing w:line="240" w:lineRule="auto"/>
        <w:ind w:left="708" w:firstLine="284"/>
        <w:jc w:val="both"/>
        <w:rPr>
          <w:rFonts w:ascii="Times New Roman" w:hAnsi="Times New Roman"/>
          <w:sz w:val="24"/>
          <w:szCs w:val="24"/>
        </w:rPr>
      </w:pPr>
      <w:r w:rsidRPr="00CE3A56">
        <w:rPr>
          <w:rFonts w:ascii="Times New Roman" w:hAnsi="Times New Roman"/>
          <w:sz w:val="24"/>
          <w:szCs w:val="24"/>
        </w:rPr>
        <w:t xml:space="preserve">2. </w:t>
      </w:r>
      <w:r w:rsidR="006E26C7" w:rsidRPr="00CE3A56">
        <w:rPr>
          <w:rFonts w:ascii="Times New Roman" w:hAnsi="Times New Roman"/>
          <w:sz w:val="24"/>
          <w:szCs w:val="24"/>
        </w:rPr>
        <w:t>P</w:t>
      </w:r>
      <w:r w:rsidRPr="00CE3A56">
        <w:rPr>
          <w:rFonts w:ascii="Times New Roman" w:hAnsi="Times New Roman"/>
          <w:sz w:val="24"/>
          <w:szCs w:val="24"/>
        </w:rPr>
        <w:t>eríodo medio de pago.</w:t>
      </w:r>
    </w:p>
    <w:p w14:paraId="7783CC7C" w14:textId="59C5EF2D" w:rsidR="008372FF" w:rsidRPr="00CE3A56" w:rsidRDefault="008372FF" w:rsidP="00CC2C8A">
      <w:pPr>
        <w:spacing w:line="240" w:lineRule="auto"/>
        <w:ind w:left="708" w:firstLine="284"/>
        <w:jc w:val="both"/>
        <w:rPr>
          <w:rFonts w:ascii="Times New Roman" w:hAnsi="Times New Roman"/>
          <w:sz w:val="24"/>
          <w:szCs w:val="24"/>
        </w:rPr>
      </w:pPr>
      <w:r w:rsidRPr="00CE3A56">
        <w:rPr>
          <w:rFonts w:ascii="Times New Roman" w:hAnsi="Times New Roman"/>
          <w:sz w:val="24"/>
          <w:szCs w:val="24"/>
        </w:rPr>
        <w:t xml:space="preserve">3. </w:t>
      </w:r>
      <w:r w:rsidR="006E26C7" w:rsidRPr="00CE3A56">
        <w:rPr>
          <w:rFonts w:ascii="Times New Roman" w:hAnsi="Times New Roman"/>
          <w:sz w:val="24"/>
          <w:szCs w:val="24"/>
        </w:rPr>
        <w:t>R</w:t>
      </w:r>
      <w:r w:rsidRPr="00CE3A56">
        <w:rPr>
          <w:rFonts w:ascii="Times New Roman" w:hAnsi="Times New Roman"/>
          <w:sz w:val="24"/>
          <w:szCs w:val="24"/>
        </w:rPr>
        <w:t xml:space="preserve">emanente de tesorería para gastos generales ajustado por los saldos de acreedores por devoluciones de ingresos y los </w:t>
      </w:r>
      <w:r w:rsidR="006E26C7" w:rsidRPr="00CE3A56">
        <w:rPr>
          <w:rFonts w:ascii="Times New Roman" w:hAnsi="Times New Roman"/>
          <w:sz w:val="24"/>
          <w:szCs w:val="24"/>
        </w:rPr>
        <w:t xml:space="preserve">de </w:t>
      </w:r>
      <w:r w:rsidRPr="00CE3A56">
        <w:rPr>
          <w:rFonts w:ascii="Times New Roman" w:hAnsi="Times New Roman"/>
          <w:sz w:val="24"/>
          <w:szCs w:val="24"/>
        </w:rPr>
        <w:t>gastos pendientes de aplicar a presupuesto.</w:t>
      </w:r>
    </w:p>
    <w:p w14:paraId="1648ABDB" w14:textId="47A3B236" w:rsidR="008372FF" w:rsidRPr="00CE3A56" w:rsidRDefault="008372FF" w:rsidP="00CC2C8A">
      <w:pPr>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Estos indicadores se han </w:t>
      </w:r>
      <w:r w:rsidR="006E26C7" w:rsidRPr="00CE3A56">
        <w:rPr>
          <w:rFonts w:ascii="Times New Roman" w:hAnsi="Times New Roman"/>
          <w:sz w:val="24"/>
          <w:szCs w:val="24"/>
        </w:rPr>
        <w:t>normalizado</w:t>
      </w:r>
      <w:r w:rsidRPr="00CE3A56">
        <w:rPr>
          <w:rFonts w:ascii="Times New Roman" w:hAnsi="Times New Roman"/>
          <w:sz w:val="24"/>
          <w:szCs w:val="24"/>
        </w:rPr>
        <w:t xml:space="preserve"> dado que la ratio de deuda viva puede tener valor 0 y este hecho hace necesaria la normalización para que la confección del índice no quede sesgada.</w:t>
      </w:r>
    </w:p>
    <w:p w14:paraId="7CF5BF4E" w14:textId="77777777" w:rsidR="008372FF" w:rsidRPr="00CE3A56" w:rsidRDefault="008372FF" w:rsidP="00CC2C8A">
      <w:pPr>
        <w:spacing w:line="240" w:lineRule="auto"/>
        <w:ind w:firstLine="284"/>
        <w:jc w:val="both"/>
        <w:rPr>
          <w:rFonts w:ascii="Times New Roman" w:hAnsi="Times New Roman"/>
          <w:sz w:val="24"/>
          <w:szCs w:val="24"/>
        </w:rPr>
      </w:pPr>
      <w:r w:rsidRPr="00CE3A56">
        <w:rPr>
          <w:rFonts w:ascii="Times New Roman" w:hAnsi="Times New Roman"/>
          <w:sz w:val="24"/>
          <w:szCs w:val="24"/>
        </w:rPr>
        <w:t>La normalización se ha realizado teniendo en cuenta el impacto de las variables en el índice de saneamiento:</w:t>
      </w:r>
    </w:p>
    <w:p w14:paraId="7AB90FDD" w14:textId="77777777" w:rsidR="008372FF" w:rsidRPr="00CE3A56" w:rsidRDefault="008372FF" w:rsidP="00CC2C8A">
      <w:pPr>
        <w:spacing w:line="240" w:lineRule="auto"/>
        <w:ind w:left="708" w:firstLine="284"/>
        <w:jc w:val="both"/>
        <w:rPr>
          <w:rFonts w:ascii="Times New Roman" w:hAnsi="Times New Roman"/>
          <w:sz w:val="24"/>
          <w:szCs w:val="24"/>
        </w:rPr>
      </w:pPr>
      <w:r w:rsidRPr="00CE3A56">
        <w:rPr>
          <w:rFonts w:ascii="Times New Roman" w:hAnsi="Times New Roman"/>
          <w:sz w:val="24"/>
          <w:szCs w:val="24"/>
        </w:rPr>
        <w:t>1. A más deuda viva menos saneamiento de la entidad local.</w:t>
      </w:r>
    </w:p>
    <w:p w14:paraId="28A28D4B" w14:textId="77777777" w:rsidR="008372FF" w:rsidRPr="00CE3A56" w:rsidRDefault="008372FF" w:rsidP="00CC2C8A">
      <w:pPr>
        <w:spacing w:line="240" w:lineRule="auto"/>
        <w:ind w:left="708" w:firstLine="284"/>
        <w:jc w:val="both"/>
        <w:rPr>
          <w:rFonts w:ascii="Times New Roman" w:hAnsi="Times New Roman"/>
          <w:sz w:val="24"/>
          <w:szCs w:val="24"/>
        </w:rPr>
      </w:pPr>
      <w:r w:rsidRPr="00CE3A56">
        <w:rPr>
          <w:rFonts w:ascii="Times New Roman" w:hAnsi="Times New Roman"/>
          <w:sz w:val="24"/>
          <w:szCs w:val="24"/>
        </w:rPr>
        <w:t>2. A mayor periodo medio de pago menos saneamiento por parte de la entidad local.</w:t>
      </w:r>
    </w:p>
    <w:p w14:paraId="7F134165" w14:textId="77777777" w:rsidR="008372FF" w:rsidRPr="00CE3A56" w:rsidRDefault="008372FF" w:rsidP="00CC2C8A">
      <w:pPr>
        <w:spacing w:line="240" w:lineRule="auto"/>
        <w:ind w:left="708" w:firstLine="284"/>
        <w:jc w:val="both"/>
        <w:rPr>
          <w:rFonts w:ascii="Times New Roman" w:hAnsi="Times New Roman"/>
          <w:sz w:val="24"/>
          <w:szCs w:val="24"/>
        </w:rPr>
      </w:pPr>
      <w:r w:rsidRPr="00CE3A56">
        <w:rPr>
          <w:rFonts w:ascii="Times New Roman" w:hAnsi="Times New Roman"/>
          <w:sz w:val="24"/>
          <w:szCs w:val="24"/>
        </w:rPr>
        <w:t>3. A más remanente de tesorería para gastos generales ajustado más saneada está la entidad local.</w:t>
      </w:r>
    </w:p>
    <w:p w14:paraId="20C0C704" w14:textId="330F6987" w:rsidR="008372FF" w:rsidRPr="00CE3A56" w:rsidRDefault="008372FF" w:rsidP="00CC2C8A">
      <w:pPr>
        <w:spacing w:line="240" w:lineRule="auto"/>
        <w:ind w:firstLine="284"/>
        <w:jc w:val="both"/>
        <w:rPr>
          <w:rFonts w:ascii="Times New Roman" w:eastAsiaTheme="minorEastAsia" w:hAnsi="Times New Roman"/>
          <w:sz w:val="24"/>
          <w:szCs w:val="24"/>
        </w:rPr>
      </w:pPr>
      <w:r w:rsidRPr="00CE3A56">
        <w:rPr>
          <w:rFonts w:ascii="Times New Roman" w:hAnsi="Times New Roman"/>
          <w:sz w:val="24"/>
          <w:szCs w:val="24"/>
        </w:rPr>
        <w:t xml:space="preserve">La normalización de la deuda viva y el periodo medio de pago se ha realizado </w:t>
      </w:r>
      <w:r w:rsidR="006E26C7" w:rsidRPr="00CE3A56">
        <w:rPr>
          <w:rFonts w:ascii="Times New Roman" w:hAnsi="Times New Roman"/>
          <w:sz w:val="24"/>
          <w:szCs w:val="24"/>
        </w:rPr>
        <w:t>mediante</w:t>
      </w:r>
      <w:r w:rsidRPr="00CE3A56">
        <w:rPr>
          <w:rFonts w:ascii="Times New Roman" w:hAnsi="Times New Roman"/>
          <w:sz w:val="24"/>
          <w:szCs w:val="24"/>
        </w:rPr>
        <w:t xml:space="preserve"> la siguiente relación</w:t>
      </w:r>
      <w:r w:rsidRPr="00CE3A56">
        <w:rPr>
          <w:rStyle w:val="Refdenotaalpie"/>
          <w:rFonts w:ascii="Times New Roman" w:hAnsi="Times New Roman"/>
          <w:sz w:val="24"/>
          <w:szCs w:val="24"/>
        </w:rPr>
        <w:footnoteReference w:id="3"/>
      </w:r>
      <w:r w:rsidRPr="00CE3A56">
        <w:rPr>
          <w:rFonts w:ascii="Times New Roman" w:hAnsi="Times New Roman"/>
          <w:sz w:val="24"/>
          <w:szCs w:val="24"/>
        </w:rPr>
        <w:t>:</w:t>
      </w:r>
    </w:p>
    <w:p w14:paraId="1E9F99BB" w14:textId="77777777" w:rsidR="008372FF" w:rsidRPr="00CE3A56" w:rsidRDefault="008372FF" w:rsidP="00CC2C8A">
      <w:pPr>
        <w:spacing w:line="240" w:lineRule="auto"/>
        <w:ind w:firstLine="284"/>
        <w:jc w:val="both"/>
        <w:rPr>
          <w:rFonts w:ascii="Times New Roman" w:hAnsi="Times New Roman"/>
          <w:sz w:val="24"/>
          <w:szCs w:val="24"/>
        </w:rPr>
      </w:pPr>
      <m:oMathPara>
        <m:oMath>
          <m:r>
            <w:rPr>
              <w:rFonts w:ascii="Cambria Math" w:hAnsi="Cambria Math"/>
              <w:sz w:val="24"/>
              <w:szCs w:val="24"/>
            </w:rPr>
            <m:t>99=Valor máximo-Valor mínimo</m:t>
          </m:r>
        </m:oMath>
      </m:oMathPara>
    </w:p>
    <w:p w14:paraId="6BD95407" w14:textId="77777777" w:rsidR="008372FF" w:rsidRPr="00CE3A56" w:rsidRDefault="008372FF" w:rsidP="00CC2C8A">
      <w:pPr>
        <w:pStyle w:val="Prrafodelista"/>
        <w:spacing w:line="240" w:lineRule="auto"/>
        <w:ind w:left="1440" w:firstLine="284"/>
        <w:jc w:val="both"/>
        <w:rPr>
          <w:rFonts w:ascii="Times New Roman" w:hAnsi="Times New Roman"/>
        </w:rPr>
      </w:pPr>
      <m:oMathPara>
        <m:oMath>
          <m:r>
            <w:rPr>
              <w:rFonts w:ascii="Cambria Math" w:hAnsi="Cambria Math"/>
            </w:rPr>
            <m:t>100-Valor normalitzado=Valor máximo-</m:t>
          </m:r>
          <m:sSub>
            <m:sSubPr>
              <m:ctrlPr>
                <w:rPr>
                  <w:rFonts w:ascii="Cambria Math" w:hAnsi="Cambria Math"/>
                  <w:i/>
                </w:rPr>
              </m:ctrlPr>
            </m:sSubPr>
            <m:e>
              <m:r>
                <w:rPr>
                  <w:rFonts w:ascii="Cambria Math" w:hAnsi="Cambria Math"/>
                </w:rPr>
                <m:t>Valor de la entidad local</m:t>
              </m:r>
            </m:e>
            <m:sub>
              <m:r>
                <w:rPr>
                  <w:rFonts w:ascii="Cambria Math" w:hAnsi="Cambria Math"/>
                </w:rPr>
                <m:t>i</m:t>
              </m:r>
            </m:sub>
          </m:sSub>
        </m:oMath>
      </m:oMathPara>
    </w:p>
    <w:p w14:paraId="0B797A1F" w14:textId="77777777" w:rsidR="008372FF" w:rsidRPr="00CE3A56" w:rsidRDefault="008372FF" w:rsidP="00CC2C8A">
      <w:pPr>
        <w:pStyle w:val="Prrafodelista"/>
        <w:spacing w:line="240" w:lineRule="auto"/>
        <w:ind w:left="1440" w:firstLine="284"/>
        <w:jc w:val="both"/>
        <w:rPr>
          <w:rFonts w:ascii="Times New Roman" w:hAnsi="Times New Roman"/>
          <w:sz w:val="24"/>
          <w:szCs w:val="24"/>
        </w:rPr>
      </w:pPr>
    </w:p>
    <w:p w14:paraId="4E4EA830" w14:textId="0DFB698D" w:rsidR="008372FF" w:rsidRPr="00CE3A56" w:rsidRDefault="008372FF" w:rsidP="00CC2C8A">
      <w:pPr>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Y la normalización del remanente de tesorería para gastos generales ajustado se ha realizado </w:t>
      </w:r>
      <w:r w:rsidR="006E26C7" w:rsidRPr="00CE3A56">
        <w:rPr>
          <w:rFonts w:ascii="Times New Roman" w:hAnsi="Times New Roman"/>
          <w:sz w:val="24"/>
          <w:szCs w:val="24"/>
        </w:rPr>
        <w:t>mediante</w:t>
      </w:r>
      <w:r w:rsidRPr="00CE3A56">
        <w:rPr>
          <w:rFonts w:ascii="Times New Roman" w:hAnsi="Times New Roman"/>
          <w:sz w:val="24"/>
          <w:szCs w:val="24"/>
        </w:rPr>
        <w:t xml:space="preserve"> la siguiente relación:</w:t>
      </w:r>
    </w:p>
    <w:p w14:paraId="3A972ABB" w14:textId="77777777" w:rsidR="008372FF" w:rsidRPr="00CE3A56" w:rsidRDefault="008372FF" w:rsidP="00CC2C8A">
      <w:pPr>
        <w:spacing w:line="240" w:lineRule="auto"/>
        <w:ind w:firstLine="284"/>
        <w:jc w:val="both"/>
        <w:rPr>
          <w:rFonts w:ascii="Times New Roman" w:hAnsi="Times New Roman"/>
          <w:sz w:val="24"/>
          <w:szCs w:val="24"/>
        </w:rPr>
      </w:pPr>
      <m:oMathPara>
        <m:oMath>
          <m:r>
            <w:rPr>
              <w:rFonts w:ascii="Cambria Math" w:hAnsi="Cambria Math"/>
              <w:sz w:val="24"/>
              <w:szCs w:val="24"/>
            </w:rPr>
            <m:t>99=Valor máximo-Valor mínimo</m:t>
          </m:r>
        </m:oMath>
      </m:oMathPara>
    </w:p>
    <w:p w14:paraId="544F13FC" w14:textId="77777777" w:rsidR="008372FF" w:rsidRPr="00CE3A56" w:rsidRDefault="008372FF" w:rsidP="00CC2C8A">
      <w:pPr>
        <w:pStyle w:val="Prrafodelista"/>
        <w:spacing w:line="240" w:lineRule="auto"/>
        <w:ind w:left="1440" w:firstLine="284"/>
        <w:jc w:val="both"/>
        <w:rPr>
          <w:rFonts w:ascii="Times New Roman" w:hAnsi="Times New Roman"/>
          <w:sz w:val="24"/>
          <w:szCs w:val="24"/>
        </w:rPr>
      </w:pPr>
      <m:oMathPara>
        <m:oMath>
          <m:r>
            <w:rPr>
              <w:rFonts w:ascii="Cambria Math" w:hAnsi="Cambria Math"/>
              <w:sz w:val="24"/>
              <w:szCs w:val="24"/>
            </w:rPr>
            <m:t>Valor normalizado=Valor máximo-</m:t>
          </m:r>
          <m:sSub>
            <m:sSubPr>
              <m:ctrlPr>
                <w:rPr>
                  <w:rFonts w:ascii="Cambria Math" w:hAnsi="Cambria Math"/>
                  <w:i/>
                  <w:sz w:val="24"/>
                  <w:szCs w:val="24"/>
                </w:rPr>
              </m:ctrlPr>
            </m:sSubPr>
            <m:e>
              <m:r>
                <w:rPr>
                  <w:rFonts w:ascii="Cambria Math" w:hAnsi="Cambria Math"/>
                  <w:sz w:val="24"/>
                  <w:szCs w:val="24"/>
                </w:rPr>
                <m:t>Valor de la entidad local</m:t>
              </m:r>
            </m:e>
            <m:sub>
              <m:r>
                <w:rPr>
                  <w:rFonts w:ascii="Cambria Math" w:hAnsi="Cambria Math"/>
                  <w:sz w:val="24"/>
                  <w:szCs w:val="24"/>
                </w:rPr>
                <m:t>i</m:t>
              </m:r>
            </m:sub>
          </m:sSub>
        </m:oMath>
      </m:oMathPara>
    </w:p>
    <w:p w14:paraId="78BE9265" w14:textId="6F435286" w:rsidR="008372FF" w:rsidRPr="00CE3A56" w:rsidRDefault="006E26C7" w:rsidP="00CC2C8A">
      <w:pPr>
        <w:spacing w:line="240" w:lineRule="auto"/>
        <w:ind w:firstLine="284"/>
        <w:jc w:val="both"/>
        <w:rPr>
          <w:rFonts w:ascii="Times New Roman" w:hAnsi="Times New Roman"/>
          <w:sz w:val="24"/>
          <w:szCs w:val="24"/>
        </w:rPr>
      </w:pPr>
      <w:r w:rsidRPr="00CE3A56">
        <w:rPr>
          <w:rFonts w:ascii="Times New Roman" w:hAnsi="Times New Roman"/>
          <w:sz w:val="24"/>
          <w:szCs w:val="24"/>
        </w:rPr>
        <w:t>T</w:t>
      </w:r>
      <w:r w:rsidR="008372FF" w:rsidRPr="00CE3A56">
        <w:rPr>
          <w:rFonts w:ascii="Times New Roman" w:hAnsi="Times New Roman"/>
          <w:sz w:val="24"/>
          <w:szCs w:val="24"/>
        </w:rPr>
        <w:t>odos los indicadores se sitúan entre un valor mínimo de 1 y un valor máximo de 100.</w:t>
      </w:r>
    </w:p>
    <w:p w14:paraId="42032374" w14:textId="77777777" w:rsidR="008372FF" w:rsidRPr="00CE3A56" w:rsidRDefault="008372FF" w:rsidP="00CC2C8A">
      <w:pPr>
        <w:spacing w:line="240" w:lineRule="auto"/>
        <w:ind w:firstLine="284"/>
        <w:jc w:val="both"/>
        <w:rPr>
          <w:rFonts w:ascii="Times New Roman" w:hAnsi="Times New Roman"/>
          <w:sz w:val="24"/>
          <w:szCs w:val="24"/>
        </w:rPr>
      </w:pPr>
      <w:r w:rsidRPr="00CE3A56">
        <w:rPr>
          <w:rFonts w:ascii="Times New Roman" w:hAnsi="Times New Roman"/>
          <w:sz w:val="24"/>
          <w:szCs w:val="24"/>
        </w:rPr>
        <w:t>Por lo tanto, los indicadores que forman parte del índice se definen como:</w:t>
      </w:r>
    </w:p>
    <w:p w14:paraId="0D73EF3D" w14:textId="77777777" w:rsidR="008372FF" w:rsidRPr="00CE3A56" w:rsidRDefault="008372FF" w:rsidP="00CC2C8A">
      <w:pPr>
        <w:pStyle w:val="Prrafodelista"/>
        <w:spacing w:line="240" w:lineRule="auto"/>
        <w:ind w:firstLine="284"/>
        <w:jc w:val="both"/>
        <w:rPr>
          <w:rFonts w:ascii="Times New Roman" w:hAnsi="Times New Roman"/>
          <w:b/>
          <w:bCs/>
          <w:sz w:val="24"/>
          <w:szCs w:val="24"/>
        </w:rPr>
      </w:pPr>
      <w:r w:rsidRPr="00CE3A56">
        <w:rPr>
          <w:rFonts w:ascii="Times New Roman" w:hAnsi="Times New Roman"/>
          <w:b/>
          <w:bCs/>
          <w:sz w:val="24"/>
          <w:szCs w:val="24"/>
        </w:rPr>
        <w:t>- Indicador del periodo medio de pago:</w:t>
      </w:r>
    </w:p>
    <w:p w14:paraId="33AD9F53" w14:textId="77777777" w:rsidR="008372FF" w:rsidRPr="00CE3A56" w:rsidRDefault="008372FF" w:rsidP="00CC2C8A">
      <w:pPr>
        <w:pStyle w:val="Prrafodelista"/>
        <w:numPr>
          <w:ilvl w:val="1"/>
          <w:numId w:val="7"/>
        </w:numPr>
        <w:spacing w:line="240" w:lineRule="auto"/>
        <w:ind w:firstLine="284"/>
        <w:jc w:val="both"/>
        <w:rPr>
          <w:rFonts w:ascii="Times New Roman" w:hAnsi="Times New Roman"/>
          <w:sz w:val="24"/>
          <w:szCs w:val="24"/>
        </w:rPr>
      </w:pPr>
      <m:oMath>
        <m:r>
          <w:rPr>
            <w:rFonts w:ascii="Cambria Math" w:hAnsi="Cambria Math"/>
            <w:sz w:val="24"/>
            <w:szCs w:val="24"/>
          </w:rPr>
          <m:t xml:space="preserve">PMP= 100- </m:t>
        </m:r>
        <m:f>
          <m:fPr>
            <m:ctrlPr>
              <w:rPr>
                <w:rFonts w:ascii="Cambria Math" w:hAnsi="Cambria Math"/>
                <w:i/>
                <w:sz w:val="24"/>
                <w:szCs w:val="24"/>
              </w:rPr>
            </m:ctrlPr>
          </m:fPr>
          <m:num>
            <m:r>
              <w:rPr>
                <w:rFonts w:ascii="Cambria Math" w:hAnsi="Cambria Math"/>
                <w:sz w:val="24"/>
                <w:szCs w:val="24"/>
              </w:rPr>
              <m:t>99*(valor PMP máximo-valor PMP de la entidad local)</m:t>
            </m:r>
          </m:num>
          <m:den>
            <m:r>
              <w:rPr>
                <w:rFonts w:ascii="Cambria Math" w:hAnsi="Cambria Math"/>
                <w:sz w:val="24"/>
                <w:szCs w:val="24"/>
              </w:rPr>
              <m:t>valor PMP máximo-valor PMP mínimo</m:t>
            </m:r>
          </m:den>
        </m:f>
      </m:oMath>
    </w:p>
    <w:p w14:paraId="26C5F46B" w14:textId="77777777" w:rsidR="008372FF" w:rsidRPr="00CE3A56" w:rsidRDefault="008372FF" w:rsidP="00CC2C8A">
      <w:pPr>
        <w:pStyle w:val="Prrafodelista"/>
        <w:spacing w:line="240" w:lineRule="auto"/>
        <w:ind w:left="1440" w:firstLine="284"/>
        <w:jc w:val="both"/>
        <w:rPr>
          <w:rFonts w:ascii="Times New Roman" w:hAnsi="Times New Roman"/>
          <w:sz w:val="24"/>
          <w:szCs w:val="24"/>
        </w:rPr>
      </w:pPr>
    </w:p>
    <w:p w14:paraId="133E685E" w14:textId="77777777" w:rsidR="008372FF" w:rsidRPr="00CE3A56" w:rsidRDefault="008372FF" w:rsidP="00CC2C8A">
      <w:pPr>
        <w:pStyle w:val="Prrafodelista"/>
        <w:numPr>
          <w:ilvl w:val="0"/>
          <w:numId w:val="7"/>
        </w:numPr>
        <w:spacing w:line="240" w:lineRule="auto"/>
        <w:ind w:firstLine="284"/>
        <w:jc w:val="both"/>
        <w:rPr>
          <w:rFonts w:ascii="Times New Roman" w:hAnsi="Times New Roman"/>
          <w:b/>
          <w:bCs/>
          <w:sz w:val="24"/>
          <w:szCs w:val="24"/>
        </w:rPr>
      </w:pPr>
      <w:r w:rsidRPr="00CE3A56">
        <w:rPr>
          <w:rFonts w:ascii="Times New Roman" w:hAnsi="Times New Roman"/>
          <w:b/>
          <w:bCs/>
          <w:sz w:val="24"/>
          <w:szCs w:val="24"/>
        </w:rPr>
        <w:t>Indicador de deuda viva:</w:t>
      </w:r>
    </w:p>
    <w:p w14:paraId="5C369A2A" w14:textId="77777777" w:rsidR="008372FF" w:rsidRPr="00CE3A56" w:rsidRDefault="008372FF" w:rsidP="00CC2C8A">
      <w:pPr>
        <w:pStyle w:val="Prrafodelista"/>
        <w:spacing w:line="240" w:lineRule="auto"/>
        <w:ind w:firstLine="284"/>
        <w:jc w:val="both"/>
        <w:rPr>
          <w:rFonts w:ascii="Times New Roman" w:hAnsi="Times New Roman"/>
          <w:sz w:val="24"/>
          <w:szCs w:val="24"/>
        </w:rPr>
      </w:pPr>
    </w:p>
    <w:p w14:paraId="35C52A0E" w14:textId="77777777" w:rsidR="008372FF" w:rsidRPr="00CE3A56" w:rsidRDefault="008372FF" w:rsidP="00CC2C8A">
      <w:pPr>
        <w:pStyle w:val="Prrafodelista"/>
        <w:numPr>
          <w:ilvl w:val="1"/>
          <w:numId w:val="7"/>
        </w:numPr>
        <w:spacing w:line="240" w:lineRule="auto"/>
        <w:ind w:firstLine="284"/>
        <w:jc w:val="both"/>
        <w:rPr>
          <w:rFonts w:ascii="Times New Roman" w:hAnsi="Times New Roman"/>
          <w:sz w:val="24"/>
          <w:szCs w:val="24"/>
        </w:rPr>
      </w:pPr>
      <m:oMath>
        <m:r>
          <w:rPr>
            <w:rFonts w:ascii="Cambria Math" w:hAnsi="Cambria Math"/>
            <w:sz w:val="24"/>
            <w:szCs w:val="24"/>
          </w:rPr>
          <m:t xml:space="preserve">DV= 100- </m:t>
        </m:r>
        <m:f>
          <m:fPr>
            <m:ctrlPr>
              <w:rPr>
                <w:rFonts w:ascii="Cambria Math" w:hAnsi="Cambria Math"/>
                <w:i/>
                <w:sz w:val="24"/>
                <w:szCs w:val="24"/>
              </w:rPr>
            </m:ctrlPr>
          </m:fPr>
          <m:num>
            <m:r>
              <w:rPr>
                <w:rFonts w:ascii="Cambria Math" w:hAnsi="Cambria Math"/>
                <w:sz w:val="24"/>
                <w:szCs w:val="24"/>
              </w:rPr>
              <m:t>99*(valor DV màximo-valor DV de la entidad local)</m:t>
            </m:r>
          </m:num>
          <m:den>
            <m:r>
              <w:rPr>
                <w:rFonts w:ascii="Cambria Math" w:hAnsi="Cambria Math"/>
                <w:sz w:val="24"/>
                <w:szCs w:val="24"/>
              </w:rPr>
              <m:t>valor DV máximo-valor DV mínimo</m:t>
            </m:r>
          </m:den>
        </m:f>
      </m:oMath>
    </w:p>
    <w:p w14:paraId="67EB2B08" w14:textId="77777777" w:rsidR="008372FF" w:rsidRPr="00CE3A56" w:rsidRDefault="008372FF" w:rsidP="00CC2C8A">
      <w:pPr>
        <w:pStyle w:val="Prrafodelista"/>
        <w:spacing w:line="240" w:lineRule="auto"/>
        <w:ind w:firstLine="284"/>
        <w:jc w:val="both"/>
        <w:rPr>
          <w:rFonts w:ascii="Times New Roman" w:hAnsi="Times New Roman"/>
          <w:sz w:val="24"/>
          <w:szCs w:val="24"/>
        </w:rPr>
      </w:pPr>
    </w:p>
    <w:p w14:paraId="43DECAD7" w14:textId="77777777" w:rsidR="008372FF" w:rsidRPr="00CE3A56" w:rsidRDefault="008372FF" w:rsidP="00CC2C8A">
      <w:pPr>
        <w:pStyle w:val="Prrafodelista"/>
        <w:numPr>
          <w:ilvl w:val="0"/>
          <w:numId w:val="7"/>
        </w:numPr>
        <w:spacing w:line="240" w:lineRule="auto"/>
        <w:ind w:firstLine="284"/>
        <w:jc w:val="both"/>
        <w:rPr>
          <w:rFonts w:ascii="Times New Roman" w:hAnsi="Times New Roman"/>
          <w:b/>
          <w:bCs/>
          <w:sz w:val="24"/>
          <w:szCs w:val="24"/>
        </w:rPr>
      </w:pPr>
      <w:r w:rsidRPr="00CE3A56">
        <w:rPr>
          <w:rFonts w:ascii="Times New Roman" w:hAnsi="Times New Roman"/>
          <w:b/>
          <w:bCs/>
          <w:sz w:val="24"/>
          <w:szCs w:val="24"/>
        </w:rPr>
        <w:t>Indicador del remanente de tesorería para gastos generales ajustado:</w:t>
      </w:r>
    </w:p>
    <w:p w14:paraId="55187A63" w14:textId="77777777" w:rsidR="008372FF" w:rsidRPr="00CE3A56" w:rsidRDefault="008372FF" w:rsidP="00CC2C8A">
      <w:pPr>
        <w:pStyle w:val="Prrafodelista"/>
        <w:spacing w:line="240" w:lineRule="auto"/>
        <w:ind w:firstLine="284"/>
        <w:jc w:val="both"/>
        <w:rPr>
          <w:rFonts w:ascii="Times New Roman" w:hAnsi="Times New Roman"/>
          <w:sz w:val="24"/>
          <w:szCs w:val="24"/>
        </w:rPr>
      </w:pPr>
    </w:p>
    <w:p w14:paraId="271C1177" w14:textId="77777777" w:rsidR="008372FF" w:rsidRPr="00CE3A56" w:rsidRDefault="008372FF" w:rsidP="00CC2C8A">
      <w:pPr>
        <w:pStyle w:val="Prrafodelista"/>
        <w:numPr>
          <w:ilvl w:val="1"/>
          <w:numId w:val="7"/>
        </w:numPr>
        <w:spacing w:line="240" w:lineRule="auto"/>
        <w:ind w:firstLine="284"/>
        <w:jc w:val="both"/>
        <w:rPr>
          <w:rFonts w:ascii="Times New Roman" w:hAnsi="Times New Roman"/>
          <w:sz w:val="24"/>
          <w:szCs w:val="24"/>
        </w:rPr>
      </w:pPr>
      <m:oMath>
        <m:r>
          <w:rPr>
            <w:rFonts w:ascii="Cambria Math" w:hAnsi="Cambria Math"/>
            <w:sz w:val="24"/>
            <w:szCs w:val="24"/>
          </w:rPr>
          <m:t xml:space="preserve">RTGG= </m:t>
        </m:r>
        <m:f>
          <m:fPr>
            <m:ctrlPr>
              <w:rPr>
                <w:rFonts w:ascii="Cambria Math" w:hAnsi="Cambria Math"/>
                <w:i/>
                <w:sz w:val="24"/>
                <w:szCs w:val="24"/>
              </w:rPr>
            </m:ctrlPr>
          </m:fPr>
          <m:num>
            <m:r>
              <w:rPr>
                <w:rFonts w:ascii="Cambria Math" w:hAnsi="Cambria Math"/>
                <w:sz w:val="24"/>
                <w:szCs w:val="24"/>
              </w:rPr>
              <m:t>99*(valor RTGG máximo-valor RTGG de la entidad local)</m:t>
            </m:r>
          </m:num>
          <m:den>
            <m:r>
              <w:rPr>
                <w:rFonts w:ascii="Cambria Math" w:hAnsi="Cambria Math"/>
                <w:sz w:val="24"/>
                <w:szCs w:val="24"/>
              </w:rPr>
              <m:t>valor RTGG máximo-valor RTDG mínimo</m:t>
            </m:r>
          </m:den>
        </m:f>
      </m:oMath>
    </w:p>
    <w:p w14:paraId="7AD6D27A" w14:textId="77777777" w:rsidR="008372FF" w:rsidRPr="00CE3A56" w:rsidRDefault="008372FF" w:rsidP="00CC2C8A">
      <w:pPr>
        <w:spacing w:line="240" w:lineRule="auto"/>
        <w:ind w:firstLine="284"/>
        <w:jc w:val="both"/>
        <w:rPr>
          <w:rFonts w:ascii="Times New Roman" w:hAnsi="Times New Roman"/>
          <w:sz w:val="24"/>
          <w:szCs w:val="24"/>
        </w:rPr>
      </w:pPr>
    </w:p>
    <w:p w14:paraId="1E5580C4" w14:textId="77777777" w:rsidR="008372FF" w:rsidRPr="00CE3A56" w:rsidRDefault="008372FF" w:rsidP="00CC2C8A">
      <w:pPr>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El </w:t>
      </w:r>
      <w:r w:rsidRPr="00CE3A56">
        <w:rPr>
          <w:rFonts w:ascii="Times New Roman" w:hAnsi="Times New Roman"/>
          <w:b/>
          <w:bCs/>
          <w:sz w:val="24"/>
          <w:szCs w:val="24"/>
        </w:rPr>
        <w:t>índice de saneamiento</w:t>
      </w:r>
      <w:r w:rsidRPr="00CE3A56">
        <w:rPr>
          <w:rFonts w:ascii="Times New Roman" w:hAnsi="Times New Roman"/>
          <w:sz w:val="24"/>
          <w:szCs w:val="24"/>
        </w:rPr>
        <w:t xml:space="preserve"> se determina por la conjunción de los tres indicadores</w:t>
      </w:r>
    </w:p>
    <w:p w14:paraId="5139AF27" w14:textId="77777777" w:rsidR="008372FF" w:rsidRPr="00CE3A56" w:rsidRDefault="008372FF" w:rsidP="00CC2C8A">
      <w:pPr>
        <w:spacing w:line="240" w:lineRule="auto"/>
        <w:ind w:firstLine="284"/>
        <w:jc w:val="both"/>
        <w:rPr>
          <w:rFonts w:ascii="Times New Roman" w:hAnsi="Times New Roman"/>
          <w:sz w:val="24"/>
          <w:szCs w:val="24"/>
        </w:rPr>
      </w:pPr>
      <m:oMathPara>
        <m:oMath>
          <m:r>
            <w:rPr>
              <w:rFonts w:ascii="Cambria Math" w:hAnsi="Cambria Math"/>
              <w:sz w:val="24"/>
              <w:szCs w:val="24"/>
            </w:rPr>
            <m:t>ISi=PMPi x DVi x RTGGi</m:t>
          </m:r>
        </m:oMath>
      </m:oMathPara>
    </w:p>
    <w:p w14:paraId="2D013DBE" w14:textId="77777777" w:rsidR="008372FF" w:rsidRPr="00CE3A56" w:rsidRDefault="008372FF" w:rsidP="00CC2C8A">
      <w:pPr>
        <w:spacing w:line="240" w:lineRule="auto"/>
        <w:ind w:firstLine="284"/>
        <w:jc w:val="both"/>
        <w:rPr>
          <w:rFonts w:ascii="Times New Roman" w:hAnsi="Times New Roman"/>
          <w:b/>
          <w:bCs/>
          <w:sz w:val="24"/>
          <w:szCs w:val="24"/>
        </w:rPr>
      </w:pPr>
      <w:r w:rsidRPr="00CE3A56">
        <w:rPr>
          <w:rFonts w:ascii="Times New Roman" w:hAnsi="Times New Roman"/>
          <w:b/>
          <w:bCs/>
          <w:sz w:val="24"/>
          <w:szCs w:val="24"/>
        </w:rPr>
        <w:t>Como más elevado es el índice de saneamiento significa que menos saneada está la entidad local.</w:t>
      </w:r>
    </w:p>
    <w:p w14:paraId="5996160C" w14:textId="2D415D18" w:rsidR="008372FF" w:rsidRPr="00E57A4B" w:rsidRDefault="00B93358" w:rsidP="00E57A4B">
      <w:pPr>
        <w:spacing w:line="240" w:lineRule="auto"/>
        <w:ind w:left="142" w:firstLine="142"/>
        <w:jc w:val="both"/>
        <w:rPr>
          <w:rFonts w:ascii="Times New Roman" w:eastAsiaTheme="minorHAnsi" w:hAnsi="Times New Roman"/>
          <w:i/>
          <w:iCs/>
          <w:sz w:val="24"/>
          <w:szCs w:val="24"/>
        </w:rPr>
      </w:pPr>
      <w:r w:rsidRPr="00E57A4B">
        <w:rPr>
          <w:rFonts w:ascii="Times New Roman" w:eastAsiaTheme="minorHAnsi" w:hAnsi="Times New Roman"/>
          <w:i/>
          <w:iCs/>
          <w:sz w:val="24"/>
          <w:szCs w:val="24"/>
        </w:rPr>
        <w:t xml:space="preserve"> </w:t>
      </w:r>
      <w:r w:rsidR="00E57A4B">
        <w:rPr>
          <w:rFonts w:ascii="Times New Roman" w:eastAsiaTheme="minorHAnsi" w:hAnsi="Times New Roman"/>
          <w:i/>
          <w:iCs/>
          <w:sz w:val="24"/>
          <w:szCs w:val="24"/>
        </w:rPr>
        <w:t xml:space="preserve">1.3.3.2. </w:t>
      </w:r>
      <w:r w:rsidRPr="00E57A4B">
        <w:rPr>
          <w:rFonts w:ascii="Times New Roman" w:eastAsiaTheme="minorHAnsi" w:hAnsi="Times New Roman"/>
          <w:i/>
          <w:iCs/>
          <w:sz w:val="24"/>
          <w:szCs w:val="24"/>
        </w:rPr>
        <w:t>Análisis del índice de saneamiento</w:t>
      </w:r>
    </w:p>
    <w:p w14:paraId="6DD8C0F8" w14:textId="78593672" w:rsidR="008372FF" w:rsidRPr="00CE3A56" w:rsidRDefault="008372FF" w:rsidP="00CC2C8A">
      <w:pPr>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Una vez definidos los indicadores se ha calculado el índice de saneamiento de las 134 entidades locales a las que se presta asistencia y que son objeto de este estudio. </w:t>
      </w:r>
    </w:p>
    <w:p w14:paraId="2F6FD88A" w14:textId="49AEB9D7" w:rsidR="008372FF" w:rsidRDefault="008372FF" w:rsidP="00CC2C8A">
      <w:pPr>
        <w:spacing w:line="240" w:lineRule="auto"/>
        <w:ind w:firstLine="284"/>
        <w:jc w:val="both"/>
        <w:rPr>
          <w:rFonts w:ascii="Times New Roman" w:hAnsi="Times New Roman"/>
          <w:sz w:val="24"/>
          <w:szCs w:val="24"/>
        </w:rPr>
      </w:pPr>
      <w:r w:rsidRPr="00CE3A56">
        <w:rPr>
          <w:rFonts w:ascii="Times New Roman" w:hAnsi="Times New Roman"/>
          <w:sz w:val="24"/>
          <w:szCs w:val="24"/>
        </w:rPr>
        <w:t>Se detallan a continuación una muestra de los resultados</w:t>
      </w:r>
      <w:r w:rsidR="00A9703E" w:rsidRPr="00CE3A56">
        <w:rPr>
          <w:rFonts w:ascii="Times New Roman" w:hAnsi="Times New Roman"/>
          <w:sz w:val="24"/>
          <w:szCs w:val="24"/>
        </w:rPr>
        <w:t xml:space="preserve"> del índice de saneamiento</w:t>
      </w:r>
      <w:r w:rsidRPr="00CE3A56">
        <w:rPr>
          <w:rFonts w:ascii="Times New Roman" w:hAnsi="Times New Roman"/>
          <w:sz w:val="24"/>
          <w:szCs w:val="24"/>
        </w:rPr>
        <w:t xml:space="preserve"> de las entidades locales menos saneadas.</w:t>
      </w:r>
    </w:p>
    <w:p w14:paraId="0AB24566" w14:textId="6C184162" w:rsidR="00BF5D53" w:rsidRPr="00BB5412" w:rsidRDefault="00BF5D53" w:rsidP="00BF5D53">
      <w:pPr>
        <w:spacing w:line="240" w:lineRule="auto"/>
        <w:jc w:val="center"/>
        <w:rPr>
          <w:rFonts w:ascii="Times New Roman" w:hAnsi="Times New Roman"/>
          <w:sz w:val="20"/>
          <w:szCs w:val="20"/>
        </w:rPr>
      </w:pPr>
      <w:r>
        <w:rPr>
          <w:rFonts w:ascii="Times New Roman" w:hAnsi="Times New Roman"/>
          <w:b/>
          <w:sz w:val="20"/>
          <w:szCs w:val="20"/>
        </w:rPr>
        <w:t>Tabl</w:t>
      </w:r>
      <w:r w:rsidRPr="00BB5412">
        <w:rPr>
          <w:rFonts w:ascii="Times New Roman" w:hAnsi="Times New Roman"/>
          <w:b/>
          <w:sz w:val="20"/>
          <w:szCs w:val="20"/>
        </w:rPr>
        <w:t xml:space="preserve">a </w:t>
      </w:r>
      <w:r>
        <w:rPr>
          <w:rFonts w:ascii="Times New Roman" w:hAnsi="Times New Roman"/>
          <w:b/>
          <w:sz w:val="20"/>
          <w:szCs w:val="20"/>
        </w:rPr>
        <w:t>2.</w:t>
      </w:r>
      <w:r w:rsidRPr="00BB5412">
        <w:rPr>
          <w:rFonts w:ascii="Times New Roman" w:hAnsi="Times New Roman"/>
          <w:sz w:val="20"/>
          <w:szCs w:val="20"/>
        </w:rPr>
        <w:t xml:space="preserve"> </w:t>
      </w:r>
      <w:r>
        <w:rPr>
          <w:rFonts w:ascii="Times New Roman" w:hAnsi="Times New Roman"/>
          <w:sz w:val="20"/>
          <w:szCs w:val="20"/>
        </w:rPr>
        <w:t>Índice de saneamiento</w:t>
      </w:r>
    </w:p>
    <w:bookmarkStart w:id="2" w:name="_MON_1708493018"/>
    <w:bookmarkEnd w:id="2"/>
    <w:p w14:paraId="70D2F614" w14:textId="453FB5AB" w:rsidR="008372FF" w:rsidRPr="00CE3A56" w:rsidRDefault="002A429A" w:rsidP="008372FF">
      <w:pPr>
        <w:spacing w:after="120" w:line="360" w:lineRule="auto"/>
        <w:jc w:val="center"/>
        <w:rPr>
          <w:rFonts w:ascii="Times New Roman" w:hAnsi="Times New Roman"/>
          <w:sz w:val="24"/>
          <w:szCs w:val="24"/>
        </w:rPr>
      </w:pPr>
      <w:r w:rsidRPr="00CE3A56">
        <w:rPr>
          <w:rFonts w:ascii="Times New Roman" w:hAnsi="Times New Roman"/>
          <w:sz w:val="24"/>
          <w:szCs w:val="24"/>
        </w:rPr>
        <w:object w:dxaOrig="8468" w:dyaOrig="2399" w14:anchorId="7B582C97">
          <v:shape id="_x0000_i1026" type="#_x0000_t75" style="width:374.25pt;height:108pt" o:ole="">
            <v:imagedata r:id="rId10" o:title=""/>
          </v:shape>
          <o:OLEObject Type="Embed" ProgID="Excel.Sheet.12" ShapeID="_x0000_i1026" DrawAspect="Content" ObjectID="_1735124582" r:id="rId11"/>
        </w:object>
      </w:r>
    </w:p>
    <w:p w14:paraId="2AC9EB48" w14:textId="2D459D7B" w:rsidR="008372FF" w:rsidRPr="00CE3A56" w:rsidRDefault="008372FF" w:rsidP="00CC2C8A">
      <w:pPr>
        <w:spacing w:afterLines="200" w:after="480" w:line="240" w:lineRule="auto"/>
        <w:ind w:firstLine="284"/>
        <w:jc w:val="both"/>
        <w:rPr>
          <w:rFonts w:ascii="Times New Roman" w:hAnsi="Times New Roman"/>
          <w:sz w:val="24"/>
          <w:szCs w:val="24"/>
        </w:rPr>
      </w:pPr>
      <w:r w:rsidRPr="00CE3A56">
        <w:rPr>
          <w:rFonts w:ascii="Times New Roman" w:hAnsi="Times New Roman"/>
          <w:sz w:val="24"/>
          <w:szCs w:val="24"/>
        </w:rPr>
        <w:t xml:space="preserve">Cuanto menor es el </w:t>
      </w:r>
      <w:r w:rsidR="006E26C7" w:rsidRPr="00CE3A56">
        <w:rPr>
          <w:rFonts w:ascii="Times New Roman" w:hAnsi="Times New Roman"/>
          <w:sz w:val="24"/>
          <w:szCs w:val="24"/>
        </w:rPr>
        <w:t xml:space="preserve">índice </w:t>
      </w:r>
      <w:r w:rsidRPr="00CE3A56">
        <w:rPr>
          <w:rFonts w:ascii="Times New Roman" w:hAnsi="Times New Roman"/>
          <w:sz w:val="24"/>
          <w:szCs w:val="24"/>
        </w:rPr>
        <w:t xml:space="preserve">significa que menos saneada está la entidad local. </w:t>
      </w:r>
    </w:p>
    <w:p w14:paraId="6DDF3C85" w14:textId="09514A40" w:rsidR="002B7CA3" w:rsidRPr="005244AA" w:rsidRDefault="005244AA" w:rsidP="005244AA">
      <w:pPr>
        <w:spacing w:line="240" w:lineRule="auto"/>
        <w:jc w:val="both"/>
        <w:rPr>
          <w:rFonts w:ascii="Times New Roman" w:hAnsi="Times New Roman"/>
          <w:b/>
          <w:sz w:val="26"/>
          <w:szCs w:val="26"/>
        </w:rPr>
      </w:pPr>
      <w:r>
        <w:rPr>
          <w:rFonts w:ascii="Times New Roman" w:hAnsi="Times New Roman"/>
          <w:b/>
          <w:i/>
          <w:sz w:val="26"/>
          <w:szCs w:val="26"/>
        </w:rPr>
        <w:t xml:space="preserve">1.4. </w:t>
      </w:r>
      <w:r w:rsidR="002B7CA3" w:rsidRPr="005244AA">
        <w:rPr>
          <w:rFonts w:ascii="Times New Roman" w:hAnsi="Times New Roman"/>
          <w:b/>
          <w:i/>
          <w:sz w:val="26"/>
          <w:szCs w:val="26"/>
        </w:rPr>
        <w:t xml:space="preserve">Resultados </w:t>
      </w:r>
    </w:p>
    <w:p w14:paraId="6180CEE4" w14:textId="2E31EC4F" w:rsidR="008372FF" w:rsidRPr="00E57A4B" w:rsidRDefault="00B93358" w:rsidP="00E57A4B">
      <w:pPr>
        <w:spacing w:line="240" w:lineRule="auto"/>
        <w:ind w:firstLine="284"/>
        <w:jc w:val="both"/>
        <w:rPr>
          <w:rFonts w:ascii="Times New Roman" w:hAnsi="Times New Roman"/>
          <w:i/>
          <w:sz w:val="24"/>
          <w:szCs w:val="26"/>
        </w:rPr>
      </w:pPr>
      <w:r w:rsidRPr="00E57A4B">
        <w:rPr>
          <w:rFonts w:ascii="Times New Roman" w:hAnsi="Times New Roman"/>
          <w:i/>
          <w:sz w:val="24"/>
          <w:szCs w:val="26"/>
        </w:rPr>
        <w:t>1.4.1. Análisis del impacto de la formación en el índice de esfuerzo</w:t>
      </w:r>
    </w:p>
    <w:p w14:paraId="258DEB27" w14:textId="2A91D7F4" w:rsidR="008372FF" w:rsidRPr="00CE3A56" w:rsidRDefault="008372FF" w:rsidP="00CC2C8A">
      <w:pPr>
        <w:spacing w:line="240" w:lineRule="auto"/>
        <w:ind w:firstLine="284"/>
        <w:jc w:val="both"/>
        <w:rPr>
          <w:rFonts w:ascii="Times New Roman" w:hAnsi="Times New Roman"/>
          <w:sz w:val="24"/>
          <w:szCs w:val="24"/>
        </w:rPr>
      </w:pPr>
      <w:r w:rsidRPr="00CE3A56">
        <w:rPr>
          <w:rFonts w:ascii="Times New Roman" w:hAnsi="Times New Roman"/>
          <w:sz w:val="24"/>
          <w:szCs w:val="24"/>
        </w:rPr>
        <w:t>Una vez confeccionado el índice de esfuerzo se ha analizado el impacto que tiene la formación que realiza el personal de las entidades locales en e</w:t>
      </w:r>
      <w:r w:rsidR="006E26C7" w:rsidRPr="00CE3A56">
        <w:rPr>
          <w:rFonts w:ascii="Times New Roman" w:hAnsi="Times New Roman"/>
          <w:sz w:val="24"/>
          <w:szCs w:val="24"/>
        </w:rPr>
        <w:t>l</w:t>
      </w:r>
      <w:r w:rsidRPr="00CE3A56">
        <w:rPr>
          <w:rFonts w:ascii="Times New Roman" w:hAnsi="Times New Roman"/>
          <w:sz w:val="24"/>
          <w:szCs w:val="24"/>
        </w:rPr>
        <w:t xml:space="preserve"> índice mediante una matriz de coeficientes de correlación lineal.</w:t>
      </w:r>
    </w:p>
    <w:p w14:paraId="50830757" w14:textId="2C53B032" w:rsidR="008372FF" w:rsidRPr="00CE3A56" w:rsidRDefault="008372FF" w:rsidP="00CC2C8A">
      <w:pPr>
        <w:spacing w:line="240" w:lineRule="auto"/>
        <w:ind w:firstLine="284"/>
        <w:jc w:val="both"/>
        <w:rPr>
          <w:rFonts w:ascii="Times New Roman" w:hAnsi="Times New Roman"/>
          <w:sz w:val="24"/>
          <w:szCs w:val="24"/>
        </w:rPr>
      </w:pPr>
      <w:r w:rsidRPr="00CE3A56">
        <w:rPr>
          <w:rFonts w:ascii="Times New Roman" w:hAnsi="Times New Roman"/>
          <w:sz w:val="24"/>
          <w:szCs w:val="24"/>
        </w:rPr>
        <w:t>Se utilizan datos del número total de cursos realizados por los empleados durante el periodo 2016-2020 así como si han realizado formación continua</w:t>
      </w:r>
      <w:r w:rsidR="004963EF" w:rsidRPr="00CE3A56">
        <w:rPr>
          <w:rFonts w:ascii="Times New Roman" w:hAnsi="Times New Roman"/>
          <w:sz w:val="24"/>
          <w:szCs w:val="24"/>
        </w:rPr>
        <w:t>da</w:t>
      </w:r>
      <w:r w:rsidRPr="00CE3A56">
        <w:rPr>
          <w:rFonts w:ascii="Times New Roman" w:hAnsi="Times New Roman"/>
          <w:sz w:val="24"/>
          <w:szCs w:val="24"/>
        </w:rPr>
        <w:t>, entendiendo como continua la formación al menos en cuatro de los cinco años de la muestra.</w:t>
      </w:r>
    </w:p>
    <w:p w14:paraId="4DBD7C15" w14:textId="13C27041" w:rsidR="008372FF" w:rsidRDefault="008372FF" w:rsidP="00CC2C8A">
      <w:pPr>
        <w:spacing w:line="240" w:lineRule="auto"/>
        <w:ind w:firstLine="284"/>
        <w:rPr>
          <w:rFonts w:ascii="Times New Roman" w:hAnsi="Times New Roman"/>
          <w:sz w:val="24"/>
          <w:szCs w:val="24"/>
        </w:rPr>
      </w:pPr>
      <w:r w:rsidRPr="00CE3A56">
        <w:rPr>
          <w:rFonts w:ascii="Times New Roman" w:hAnsi="Times New Roman"/>
          <w:sz w:val="24"/>
          <w:szCs w:val="24"/>
        </w:rPr>
        <w:t>Se han obtenido los siguientes coeficientes de correlación lineal</w:t>
      </w:r>
      <w:r w:rsidRPr="00CE3A56">
        <w:rPr>
          <w:rStyle w:val="Refdenotaalpie"/>
          <w:rFonts w:ascii="Times New Roman" w:hAnsi="Times New Roman"/>
          <w:sz w:val="24"/>
          <w:szCs w:val="24"/>
        </w:rPr>
        <w:footnoteReference w:id="4"/>
      </w:r>
      <w:r w:rsidRPr="00CE3A56">
        <w:rPr>
          <w:rFonts w:ascii="Times New Roman" w:hAnsi="Times New Roman"/>
          <w:sz w:val="24"/>
          <w:szCs w:val="24"/>
        </w:rPr>
        <w:t>:</w:t>
      </w:r>
    </w:p>
    <w:p w14:paraId="54848072" w14:textId="797956A7" w:rsidR="00BF5D53" w:rsidRPr="00CE3A56" w:rsidRDefault="00BF5D53" w:rsidP="00BF5D53">
      <w:pPr>
        <w:spacing w:line="240" w:lineRule="auto"/>
        <w:jc w:val="center"/>
        <w:rPr>
          <w:rFonts w:ascii="Times New Roman" w:hAnsi="Times New Roman"/>
          <w:noProof/>
          <w:sz w:val="24"/>
          <w:szCs w:val="24"/>
        </w:rPr>
      </w:pPr>
      <w:r>
        <w:rPr>
          <w:rFonts w:ascii="Times New Roman" w:hAnsi="Times New Roman"/>
          <w:b/>
          <w:sz w:val="20"/>
          <w:szCs w:val="20"/>
        </w:rPr>
        <w:t>Tabl</w:t>
      </w:r>
      <w:r w:rsidRPr="00BB5412">
        <w:rPr>
          <w:rFonts w:ascii="Times New Roman" w:hAnsi="Times New Roman"/>
          <w:b/>
          <w:sz w:val="20"/>
          <w:szCs w:val="20"/>
        </w:rPr>
        <w:t xml:space="preserve">a </w:t>
      </w:r>
      <w:r>
        <w:rPr>
          <w:rFonts w:ascii="Times New Roman" w:hAnsi="Times New Roman"/>
          <w:b/>
          <w:sz w:val="20"/>
          <w:szCs w:val="20"/>
        </w:rPr>
        <w:t>3.</w:t>
      </w:r>
      <w:r w:rsidRPr="00BB5412">
        <w:rPr>
          <w:rFonts w:ascii="Times New Roman" w:hAnsi="Times New Roman"/>
          <w:sz w:val="20"/>
          <w:szCs w:val="20"/>
        </w:rPr>
        <w:t xml:space="preserve"> </w:t>
      </w:r>
      <w:r>
        <w:rPr>
          <w:rFonts w:ascii="Times New Roman" w:hAnsi="Times New Roman"/>
          <w:sz w:val="20"/>
          <w:szCs w:val="20"/>
        </w:rPr>
        <w:t>Matriz de coeficientes del índice de esfuerzo</w:t>
      </w:r>
    </w:p>
    <w:bookmarkStart w:id="3" w:name="_MON_1708492987"/>
    <w:bookmarkEnd w:id="3"/>
    <w:p w14:paraId="794E058C" w14:textId="20EF69DD" w:rsidR="008372FF" w:rsidRPr="00CE3A56" w:rsidRDefault="0099067D" w:rsidP="00BF5D53">
      <w:pPr>
        <w:spacing w:after="120" w:line="360" w:lineRule="auto"/>
        <w:jc w:val="center"/>
        <w:rPr>
          <w:rFonts w:ascii="Times New Roman" w:hAnsi="Times New Roman"/>
          <w:noProof/>
          <w:sz w:val="24"/>
          <w:szCs w:val="24"/>
        </w:rPr>
      </w:pPr>
      <w:r w:rsidRPr="00CE3A56">
        <w:rPr>
          <w:rFonts w:ascii="Times New Roman" w:hAnsi="Times New Roman"/>
          <w:noProof/>
          <w:sz w:val="24"/>
          <w:szCs w:val="24"/>
        </w:rPr>
        <w:object w:dxaOrig="6657" w:dyaOrig="753" w14:anchorId="4FD96191">
          <v:shape id="_x0000_i1027" type="#_x0000_t75" style="width:331.5pt;height:36pt" o:ole="">
            <v:imagedata r:id="rId12" o:title=""/>
          </v:shape>
          <o:OLEObject Type="Embed" ProgID="Excel.Sheet.12" ShapeID="_x0000_i1027" DrawAspect="Content" ObjectID="_1735124583" r:id="rId13"/>
        </w:object>
      </w:r>
    </w:p>
    <w:p w14:paraId="116078CF" w14:textId="7B5C9921" w:rsidR="008372FF" w:rsidRPr="00CE3A56" w:rsidRDefault="008372FF" w:rsidP="00CC2C8A">
      <w:pPr>
        <w:pStyle w:val="NormalWeb"/>
        <w:spacing w:before="0" w:beforeAutospacing="0" w:after="200" w:afterAutospacing="0"/>
        <w:ind w:firstLine="284"/>
        <w:jc w:val="both"/>
        <w:rPr>
          <w:kern w:val="24"/>
        </w:rPr>
      </w:pPr>
      <w:r w:rsidRPr="00CE3A56">
        <w:rPr>
          <w:kern w:val="24"/>
        </w:rPr>
        <w:t xml:space="preserve">Hay una </w:t>
      </w:r>
      <w:r w:rsidRPr="00CE3A56">
        <w:rPr>
          <w:b/>
          <w:bCs/>
          <w:kern w:val="24"/>
        </w:rPr>
        <w:t>relación negativa entre el índice de esfuerzo y el número de actividades formativas y la formación continua</w:t>
      </w:r>
      <w:r w:rsidRPr="00CE3A56">
        <w:rPr>
          <w:kern w:val="24"/>
        </w:rPr>
        <w:t xml:space="preserve">, que significa que a más formación realizada por los </w:t>
      </w:r>
      <w:r w:rsidRPr="00CE3A56">
        <w:rPr>
          <w:kern w:val="24"/>
        </w:rPr>
        <w:lastRenderedPageBreak/>
        <w:t xml:space="preserve">empleados menos esfuerzo debe hacer el personal de la Unidad de Soporte Económico en </w:t>
      </w:r>
      <w:r w:rsidR="006E26C7" w:rsidRPr="00CE3A56">
        <w:rPr>
          <w:kern w:val="24"/>
        </w:rPr>
        <w:t>su asesoramiento</w:t>
      </w:r>
      <w:r w:rsidRPr="00CE3A56">
        <w:rPr>
          <w:kern w:val="24"/>
        </w:rPr>
        <w:t>.</w:t>
      </w:r>
    </w:p>
    <w:p w14:paraId="3D0754CC" w14:textId="2A6B8518" w:rsidR="008372FF" w:rsidRPr="00CE3A56" w:rsidRDefault="008372FF" w:rsidP="00CC2C8A">
      <w:pPr>
        <w:pStyle w:val="NormalWeb"/>
        <w:spacing w:before="0" w:beforeAutospacing="0" w:after="200" w:afterAutospacing="0"/>
        <w:ind w:firstLine="284"/>
        <w:jc w:val="both"/>
        <w:rPr>
          <w:kern w:val="24"/>
        </w:rPr>
      </w:pPr>
      <w:r w:rsidRPr="00CE3A56">
        <w:rPr>
          <w:kern w:val="24"/>
        </w:rPr>
        <w:t xml:space="preserve">Existe una </w:t>
      </w:r>
      <w:r w:rsidRPr="00CE3A56">
        <w:rPr>
          <w:b/>
          <w:bCs/>
          <w:kern w:val="24"/>
        </w:rPr>
        <w:t>relación positiva entre la formación y las capacitaciones del personal</w:t>
      </w:r>
      <w:r w:rsidRPr="00CE3A56">
        <w:rPr>
          <w:kern w:val="24"/>
        </w:rPr>
        <w:t>, lo que significa que el personal más formado es el que tiene más capacidad y conocimiento.</w:t>
      </w:r>
    </w:p>
    <w:p w14:paraId="5D4CE768" w14:textId="021ECD74" w:rsidR="008372FF" w:rsidRPr="00CE3A56" w:rsidRDefault="008372FF" w:rsidP="00CC2C8A">
      <w:pPr>
        <w:pStyle w:val="NormalWeb"/>
        <w:spacing w:before="0" w:beforeAutospacing="0" w:after="200" w:afterAutospacing="0"/>
        <w:ind w:firstLine="284"/>
        <w:jc w:val="both"/>
        <w:rPr>
          <w:kern w:val="24"/>
        </w:rPr>
      </w:pPr>
      <w:r w:rsidRPr="00CE3A56">
        <w:rPr>
          <w:kern w:val="24"/>
        </w:rPr>
        <w:t xml:space="preserve">Hay una </w:t>
      </w:r>
      <w:r w:rsidRPr="00CE3A56">
        <w:rPr>
          <w:b/>
          <w:bCs/>
          <w:kern w:val="24"/>
        </w:rPr>
        <w:t>relación negativ</w:t>
      </w:r>
      <w:r w:rsidR="0081766C" w:rsidRPr="00CE3A56">
        <w:rPr>
          <w:b/>
          <w:bCs/>
          <w:kern w:val="24"/>
        </w:rPr>
        <w:t>a</w:t>
      </w:r>
      <w:r w:rsidRPr="00CE3A56">
        <w:rPr>
          <w:b/>
          <w:bCs/>
          <w:kern w:val="24"/>
        </w:rPr>
        <w:t xml:space="preserve"> entre las asistencias y la formación</w:t>
      </w:r>
      <w:r w:rsidRPr="00CE3A56">
        <w:rPr>
          <w:kern w:val="24"/>
        </w:rPr>
        <w:t>, lo que significa que aquellas entidades locales en las que el personal se forma más necesitan menos asistencia por parte del personal de la Unidad de Soporte Económico.</w:t>
      </w:r>
    </w:p>
    <w:p w14:paraId="0E553222" w14:textId="7F621A8A" w:rsidR="008372FF" w:rsidRPr="00CE3A56" w:rsidRDefault="008372FF" w:rsidP="00CC2C8A">
      <w:pPr>
        <w:pStyle w:val="NormalWeb"/>
        <w:spacing w:before="0" w:beforeAutospacing="0" w:after="200" w:afterAutospacing="0"/>
        <w:ind w:firstLine="284"/>
        <w:jc w:val="both"/>
        <w:rPr>
          <w:kern w:val="24"/>
        </w:rPr>
      </w:pPr>
      <w:r w:rsidRPr="00CE3A56">
        <w:rPr>
          <w:kern w:val="24"/>
        </w:rPr>
        <w:t>Así pues, la formación que realiza el personal de las entidades locales influye en el esfuerzo que debe realizar el personal de la Unidad de Soporte Económico</w:t>
      </w:r>
      <w:r w:rsidR="0081766C" w:rsidRPr="00CE3A56">
        <w:rPr>
          <w:kern w:val="24"/>
        </w:rPr>
        <w:t xml:space="preserve"> ya que </w:t>
      </w:r>
      <w:r w:rsidRPr="00CE3A56">
        <w:rPr>
          <w:b/>
          <w:bCs/>
          <w:kern w:val="24"/>
        </w:rPr>
        <w:t>el personal que realiza actividades formativas pertenece a entidades locales en las que el personal de la U</w:t>
      </w:r>
      <w:r w:rsidR="00EB4B62">
        <w:rPr>
          <w:b/>
          <w:bCs/>
          <w:kern w:val="24"/>
        </w:rPr>
        <w:t>SE</w:t>
      </w:r>
      <w:r w:rsidRPr="00CE3A56">
        <w:rPr>
          <w:b/>
          <w:bCs/>
          <w:kern w:val="24"/>
        </w:rPr>
        <w:t xml:space="preserve"> debe realizar menos esfuerzo en el momento de asesorarles</w:t>
      </w:r>
      <w:r w:rsidRPr="00CE3A56">
        <w:rPr>
          <w:kern w:val="24"/>
        </w:rPr>
        <w:t>.</w:t>
      </w:r>
    </w:p>
    <w:p w14:paraId="1E5AF044" w14:textId="77777777" w:rsidR="00A63478" w:rsidRPr="00CE3A56" w:rsidRDefault="00A63478" w:rsidP="00CC2C8A">
      <w:pPr>
        <w:pStyle w:val="Prrafodelista"/>
        <w:spacing w:line="240" w:lineRule="auto"/>
        <w:ind w:left="1080" w:firstLine="284"/>
        <w:jc w:val="both"/>
        <w:rPr>
          <w:rFonts w:ascii="Times New Roman" w:hAnsi="Times New Roman"/>
          <w:b/>
          <w:bCs/>
          <w:sz w:val="24"/>
          <w:szCs w:val="24"/>
        </w:rPr>
      </w:pPr>
    </w:p>
    <w:p w14:paraId="21C01EF9" w14:textId="4892CA39" w:rsidR="00A63478" w:rsidRPr="00E57A4B" w:rsidRDefault="00E57A4B" w:rsidP="00E57A4B">
      <w:pPr>
        <w:spacing w:line="240" w:lineRule="auto"/>
        <w:ind w:firstLine="284"/>
        <w:jc w:val="both"/>
        <w:rPr>
          <w:rFonts w:ascii="Times New Roman" w:hAnsi="Times New Roman"/>
          <w:i/>
          <w:sz w:val="24"/>
          <w:szCs w:val="26"/>
        </w:rPr>
      </w:pPr>
      <w:r>
        <w:rPr>
          <w:rFonts w:ascii="Times New Roman" w:hAnsi="Times New Roman"/>
          <w:i/>
          <w:sz w:val="24"/>
          <w:szCs w:val="26"/>
        </w:rPr>
        <w:t xml:space="preserve">1.4.2. </w:t>
      </w:r>
      <w:r w:rsidR="00B93358" w:rsidRPr="00E57A4B">
        <w:rPr>
          <w:rFonts w:ascii="Times New Roman" w:hAnsi="Times New Roman"/>
          <w:i/>
          <w:sz w:val="24"/>
          <w:szCs w:val="26"/>
        </w:rPr>
        <w:t>Análisis del impacto de la formación en el índice de saneamiento</w:t>
      </w:r>
    </w:p>
    <w:p w14:paraId="3388ADB3" w14:textId="38E79051" w:rsidR="00A63478" w:rsidRDefault="00A63478" w:rsidP="00CC2C8A">
      <w:pPr>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Una vez confeccionado el índice de saneamiento se ha analizado el </w:t>
      </w:r>
      <w:r w:rsidRPr="00CE3A56">
        <w:rPr>
          <w:rFonts w:ascii="Times New Roman" w:hAnsi="Times New Roman"/>
          <w:b/>
          <w:bCs/>
          <w:sz w:val="24"/>
          <w:szCs w:val="24"/>
        </w:rPr>
        <w:t>impacto que tiene</w:t>
      </w:r>
      <w:r w:rsidR="00DC667B" w:rsidRPr="00CE3A56">
        <w:rPr>
          <w:rFonts w:ascii="Times New Roman" w:hAnsi="Times New Roman"/>
          <w:b/>
          <w:bCs/>
          <w:sz w:val="24"/>
          <w:szCs w:val="24"/>
        </w:rPr>
        <w:t xml:space="preserve"> la formación</w:t>
      </w:r>
      <w:r w:rsidRPr="00CE3A56">
        <w:rPr>
          <w:rFonts w:ascii="Times New Roman" w:hAnsi="Times New Roman"/>
          <w:b/>
          <w:bCs/>
          <w:sz w:val="24"/>
          <w:szCs w:val="24"/>
        </w:rPr>
        <w:t xml:space="preserve"> en e</w:t>
      </w:r>
      <w:r w:rsidR="00DC667B" w:rsidRPr="00CE3A56">
        <w:rPr>
          <w:rFonts w:ascii="Times New Roman" w:hAnsi="Times New Roman"/>
          <w:b/>
          <w:bCs/>
          <w:sz w:val="24"/>
          <w:szCs w:val="24"/>
        </w:rPr>
        <w:t>l</w:t>
      </w:r>
      <w:r w:rsidRPr="00CE3A56">
        <w:rPr>
          <w:rFonts w:ascii="Times New Roman" w:hAnsi="Times New Roman"/>
          <w:b/>
          <w:bCs/>
          <w:sz w:val="24"/>
          <w:szCs w:val="24"/>
        </w:rPr>
        <w:t xml:space="preserve"> índice</w:t>
      </w:r>
      <w:r w:rsidR="004963EF" w:rsidRPr="00CE3A56">
        <w:rPr>
          <w:rFonts w:ascii="Times New Roman" w:hAnsi="Times New Roman"/>
          <w:b/>
          <w:bCs/>
          <w:sz w:val="24"/>
          <w:szCs w:val="24"/>
        </w:rPr>
        <w:t xml:space="preserve"> </w:t>
      </w:r>
      <w:r w:rsidR="004963EF" w:rsidRPr="00CE3A56">
        <w:rPr>
          <w:rFonts w:ascii="Times New Roman" w:hAnsi="Times New Roman"/>
          <w:sz w:val="24"/>
          <w:szCs w:val="24"/>
        </w:rPr>
        <w:t xml:space="preserve">mediante </w:t>
      </w:r>
      <w:r w:rsidR="00DC667B" w:rsidRPr="00CE3A56">
        <w:rPr>
          <w:rFonts w:ascii="Times New Roman" w:hAnsi="Times New Roman"/>
          <w:sz w:val="24"/>
          <w:szCs w:val="24"/>
        </w:rPr>
        <w:t>la siguiente</w:t>
      </w:r>
      <w:r w:rsidR="004963EF" w:rsidRPr="00CE3A56">
        <w:rPr>
          <w:rFonts w:ascii="Times New Roman" w:hAnsi="Times New Roman"/>
          <w:sz w:val="24"/>
          <w:szCs w:val="24"/>
        </w:rPr>
        <w:t xml:space="preserve"> matriz de correlación lineal</w:t>
      </w:r>
      <w:r w:rsidRPr="00CE3A56">
        <w:rPr>
          <w:rStyle w:val="Refdenotaalpie"/>
          <w:rFonts w:ascii="Times New Roman" w:hAnsi="Times New Roman"/>
          <w:sz w:val="24"/>
          <w:szCs w:val="24"/>
        </w:rPr>
        <w:footnoteReference w:id="5"/>
      </w:r>
      <w:r w:rsidRPr="00CE3A56">
        <w:rPr>
          <w:rFonts w:ascii="Times New Roman" w:hAnsi="Times New Roman"/>
          <w:sz w:val="24"/>
          <w:szCs w:val="24"/>
        </w:rPr>
        <w:t>:</w:t>
      </w:r>
    </w:p>
    <w:p w14:paraId="3849C45F" w14:textId="51134C93" w:rsidR="00BF5D53" w:rsidRPr="00CE3A56" w:rsidRDefault="00BF5D53" w:rsidP="00BF5D53">
      <w:pPr>
        <w:spacing w:line="240" w:lineRule="auto"/>
        <w:jc w:val="center"/>
        <w:rPr>
          <w:rFonts w:ascii="Times New Roman" w:hAnsi="Times New Roman"/>
          <w:noProof/>
          <w:sz w:val="24"/>
          <w:szCs w:val="24"/>
        </w:rPr>
      </w:pPr>
      <w:r>
        <w:rPr>
          <w:rFonts w:ascii="Times New Roman" w:hAnsi="Times New Roman"/>
          <w:b/>
          <w:sz w:val="20"/>
          <w:szCs w:val="20"/>
        </w:rPr>
        <w:t>Tabl</w:t>
      </w:r>
      <w:r w:rsidRPr="00BB5412">
        <w:rPr>
          <w:rFonts w:ascii="Times New Roman" w:hAnsi="Times New Roman"/>
          <w:b/>
          <w:sz w:val="20"/>
          <w:szCs w:val="20"/>
        </w:rPr>
        <w:t xml:space="preserve">a </w:t>
      </w:r>
      <w:r>
        <w:rPr>
          <w:rFonts w:ascii="Times New Roman" w:hAnsi="Times New Roman"/>
          <w:b/>
          <w:sz w:val="20"/>
          <w:szCs w:val="20"/>
        </w:rPr>
        <w:t>4.</w:t>
      </w:r>
      <w:r w:rsidRPr="00BB5412">
        <w:rPr>
          <w:rFonts w:ascii="Times New Roman" w:hAnsi="Times New Roman"/>
          <w:sz w:val="20"/>
          <w:szCs w:val="20"/>
        </w:rPr>
        <w:t xml:space="preserve"> </w:t>
      </w:r>
      <w:r>
        <w:rPr>
          <w:rFonts w:ascii="Times New Roman" w:hAnsi="Times New Roman"/>
          <w:sz w:val="20"/>
          <w:szCs w:val="20"/>
        </w:rPr>
        <w:t>Matriz de coeficientes del índice de saneamin</w:t>
      </w:r>
    </w:p>
    <w:p w14:paraId="1D7C6F64" w14:textId="3408EC49" w:rsidR="00A63478" w:rsidRPr="00CE3A56" w:rsidRDefault="0099067D" w:rsidP="00A63478">
      <w:pPr>
        <w:spacing w:after="120" w:line="360" w:lineRule="auto"/>
        <w:ind w:firstLine="708"/>
        <w:jc w:val="both"/>
        <w:rPr>
          <w:rFonts w:ascii="Times New Roman" w:hAnsi="Times New Roman"/>
          <w:sz w:val="24"/>
          <w:szCs w:val="24"/>
        </w:rPr>
      </w:pPr>
      <w:r w:rsidRPr="00CE3A56">
        <w:rPr>
          <w:rFonts w:ascii="Times New Roman" w:hAnsi="Times New Roman"/>
          <w:sz w:val="24"/>
          <w:szCs w:val="24"/>
        </w:rPr>
        <w:object w:dxaOrig="6917" w:dyaOrig="509" w14:anchorId="0C75CD8A">
          <v:shape id="_x0000_i1028" type="#_x0000_t75" style="width:345.75pt;height:28.5pt" o:ole="">
            <v:imagedata r:id="rId14" o:title=""/>
          </v:shape>
          <o:OLEObject Type="Embed" ProgID="Excel.Sheet.12" ShapeID="_x0000_i1028" DrawAspect="Content" ObjectID="_1735124584" r:id="rId15"/>
        </w:object>
      </w:r>
    </w:p>
    <w:p w14:paraId="49CA0E1E" w14:textId="00AAEFE4" w:rsidR="00A63478" w:rsidRPr="00CE3A56" w:rsidRDefault="00A63478" w:rsidP="00CC2C8A">
      <w:pPr>
        <w:tabs>
          <w:tab w:val="left" w:pos="1905"/>
        </w:tabs>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1. Existe una relación positiva entre el índice de esfuerzo y el índice de saneamiento, </w:t>
      </w:r>
      <w:r w:rsidR="00DC667B" w:rsidRPr="00CE3A56">
        <w:rPr>
          <w:rFonts w:ascii="Times New Roman" w:hAnsi="Times New Roman"/>
          <w:sz w:val="24"/>
          <w:szCs w:val="24"/>
        </w:rPr>
        <w:t xml:space="preserve">por </w:t>
      </w:r>
      <w:r w:rsidRPr="00CE3A56">
        <w:rPr>
          <w:rFonts w:ascii="Times New Roman" w:hAnsi="Times New Roman"/>
          <w:sz w:val="24"/>
          <w:szCs w:val="24"/>
        </w:rPr>
        <w:t xml:space="preserve">lo que, </w:t>
      </w:r>
      <w:r w:rsidRPr="00CE3A56">
        <w:rPr>
          <w:rFonts w:ascii="Times New Roman" w:hAnsi="Times New Roman"/>
          <w:b/>
          <w:bCs/>
          <w:sz w:val="24"/>
          <w:szCs w:val="24"/>
        </w:rPr>
        <w:t>cuanto menos saneada está la entidad local, más esfuerzo se debe realizar</w:t>
      </w:r>
      <w:r w:rsidRPr="00CE3A56">
        <w:rPr>
          <w:rFonts w:ascii="Times New Roman" w:hAnsi="Times New Roman"/>
          <w:sz w:val="24"/>
          <w:szCs w:val="24"/>
        </w:rPr>
        <w:t xml:space="preserve"> por parte de la USE en proporcionarles asistencia.</w:t>
      </w:r>
    </w:p>
    <w:p w14:paraId="678C76FA" w14:textId="1928BDA8" w:rsidR="00A63478" w:rsidRPr="00CE3A56" w:rsidRDefault="00A63478" w:rsidP="00CC2C8A">
      <w:pPr>
        <w:tabs>
          <w:tab w:val="left" w:pos="1905"/>
        </w:tabs>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2. Hay una relación positiva entre el índice de saneamiento y el número de asistencias, </w:t>
      </w:r>
      <w:r w:rsidRPr="00CE3A56">
        <w:rPr>
          <w:rFonts w:ascii="Times New Roman" w:hAnsi="Times New Roman"/>
          <w:b/>
          <w:bCs/>
          <w:sz w:val="24"/>
          <w:szCs w:val="24"/>
        </w:rPr>
        <w:t>las entidades menos saneadas reciben más asistencia</w:t>
      </w:r>
      <w:r w:rsidRPr="00CE3A56">
        <w:rPr>
          <w:rFonts w:ascii="Times New Roman" w:hAnsi="Times New Roman"/>
          <w:sz w:val="24"/>
          <w:szCs w:val="24"/>
        </w:rPr>
        <w:t xml:space="preserve"> por parte de la U</w:t>
      </w:r>
      <w:r w:rsidR="00EB4B62">
        <w:rPr>
          <w:rFonts w:ascii="Times New Roman" w:hAnsi="Times New Roman"/>
          <w:sz w:val="24"/>
          <w:szCs w:val="24"/>
        </w:rPr>
        <w:t>SE</w:t>
      </w:r>
      <w:r w:rsidRPr="00CE3A56">
        <w:rPr>
          <w:rFonts w:ascii="Times New Roman" w:hAnsi="Times New Roman"/>
          <w:sz w:val="24"/>
          <w:szCs w:val="24"/>
        </w:rPr>
        <w:t xml:space="preserve"> que las más saneadas.</w:t>
      </w:r>
    </w:p>
    <w:p w14:paraId="12BD4C1C" w14:textId="77777777" w:rsidR="00A63478" w:rsidRPr="00CE3A56" w:rsidRDefault="00A63478" w:rsidP="00CC2C8A">
      <w:pPr>
        <w:tabs>
          <w:tab w:val="left" w:pos="1905"/>
        </w:tabs>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3. Hay una relación negativa entre el índice de saneamiento y la formación, en el sentido de que </w:t>
      </w:r>
      <w:r w:rsidRPr="00CE3A56">
        <w:rPr>
          <w:rFonts w:ascii="Times New Roman" w:hAnsi="Times New Roman"/>
          <w:b/>
          <w:bCs/>
          <w:sz w:val="24"/>
          <w:szCs w:val="24"/>
        </w:rPr>
        <w:t>el personal de las entidades locales menos saneadas han realizado menos actividades formativas</w:t>
      </w:r>
      <w:r w:rsidRPr="00CE3A56">
        <w:rPr>
          <w:rFonts w:ascii="Times New Roman" w:hAnsi="Times New Roman"/>
          <w:sz w:val="24"/>
          <w:szCs w:val="24"/>
        </w:rPr>
        <w:t>.</w:t>
      </w:r>
    </w:p>
    <w:p w14:paraId="1F008399" w14:textId="14C77322" w:rsidR="00A63478" w:rsidRPr="00CE3A56" w:rsidRDefault="00A63478" w:rsidP="00CC2C8A">
      <w:pPr>
        <w:tabs>
          <w:tab w:val="left" w:pos="1905"/>
        </w:tabs>
        <w:spacing w:line="240" w:lineRule="auto"/>
        <w:ind w:firstLine="284"/>
        <w:jc w:val="both"/>
        <w:rPr>
          <w:rFonts w:ascii="Times New Roman" w:hAnsi="Times New Roman"/>
          <w:b/>
          <w:bCs/>
          <w:sz w:val="24"/>
          <w:szCs w:val="24"/>
        </w:rPr>
      </w:pPr>
      <w:r w:rsidRPr="00CE3A56">
        <w:rPr>
          <w:rFonts w:ascii="Times New Roman" w:hAnsi="Times New Roman"/>
          <w:sz w:val="24"/>
          <w:szCs w:val="24"/>
        </w:rPr>
        <w:t>Así pues, la formación que realiza el personal de las entidades locales influye en el grado de saneamiento de las entidades locales y</w:t>
      </w:r>
      <w:r w:rsidR="0081766C" w:rsidRPr="00CE3A56">
        <w:rPr>
          <w:rFonts w:ascii="Times New Roman" w:hAnsi="Times New Roman"/>
          <w:sz w:val="24"/>
          <w:szCs w:val="24"/>
        </w:rPr>
        <w:t>a</w:t>
      </w:r>
      <w:r w:rsidRPr="00CE3A56">
        <w:rPr>
          <w:rFonts w:ascii="Times New Roman" w:hAnsi="Times New Roman"/>
          <w:sz w:val="24"/>
          <w:szCs w:val="24"/>
        </w:rPr>
        <w:t xml:space="preserve"> </w:t>
      </w:r>
      <w:r w:rsidRPr="00CE3A56">
        <w:rPr>
          <w:rFonts w:ascii="Times New Roman" w:hAnsi="Times New Roman"/>
          <w:b/>
          <w:bCs/>
          <w:sz w:val="24"/>
          <w:szCs w:val="24"/>
        </w:rPr>
        <w:t>que las entidades locales más saneadas son aquellas en las que su personal realiza más formación.</w:t>
      </w:r>
    </w:p>
    <w:p w14:paraId="17FB710C" w14:textId="77777777" w:rsidR="005244AA" w:rsidRDefault="005244AA" w:rsidP="00042C31">
      <w:pPr>
        <w:spacing w:line="240" w:lineRule="auto"/>
        <w:jc w:val="both"/>
        <w:rPr>
          <w:rFonts w:ascii="Times New Roman" w:hAnsi="Times New Roman"/>
          <w:b/>
          <w:i/>
          <w:sz w:val="26"/>
          <w:szCs w:val="26"/>
        </w:rPr>
      </w:pPr>
    </w:p>
    <w:p w14:paraId="69F2EAF9" w14:textId="2BBD4B38" w:rsidR="002B7CA3" w:rsidRPr="00CE3A56" w:rsidRDefault="002B7CA3" w:rsidP="00042C31">
      <w:pPr>
        <w:spacing w:line="240" w:lineRule="auto"/>
        <w:jc w:val="both"/>
        <w:rPr>
          <w:rFonts w:ascii="Times New Roman" w:hAnsi="Times New Roman"/>
          <w:b/>
          <w:sz w:val="26"/>
          <w:szCs w:val="26"/>
        </w:rPr>
      </w:pPr>
      <w:r w:rsidRPr="00CE3A56">
        <w:rPr>
          <w:rFonts w:ascii="Times New Roman" w:hAnsi="Times New Roman"/>
          <w:b/>
          <w:i/>
          <w:sz w:val="26"/>
          <w:szCs w:val="26"/>
        </w:rPr>
        <w:t xml:space="preserve">1.5. </w:t>
      </w:r>
      <w:r w:rsidR="002D483B" w:rsidRPr="00CE3A56">
        <w:rPr>
          <w:rFonts w:ascii="Times New Roman" w:hAnsi="Times New Roman"/>
          <w:b/>
          <w:i/>
          <w:sz w:val="26"/>
          <w:szCs w:val="26"/>
        </w:rPr>
        <w:t>Conclusiones y Discusión</w:t>
      </w:r>
      <w:r w:rsidRPr="00CE3A56">
        <w:rPr>
          <w:rFonts w:ascii="Times New Roman" w:hAnsi="Times New Roman"/>
          <w:b/>
          <w:i/>
          <w:sz w:val="26"/>
          <w:szCs w:val="26"/>
        </w:rPr>
        <w:t xml:space="preserve"> </w:t>
      </w:r>
    </w:p>
    <w:p w14:paraId="3DED3DA7" w14:textId="53810335" w:rsidR="00597928" w:rsidRPr="00CE3A56" w:rsidRDefault="008372FF" w:rsidP="00CC2C8A">
      <w:pPr>
        <w:tabs>
          <w:tab w:val="left" w:pos="1905"/>
        </w:tabs>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Se ha obtenido evidencia que </w:t>
      </w:r>
      <w:r w:rsidRPr="00CE3A56">
        <w:rPr>
          <w:rFonts w:ascii="Times New Roman" w:hAnsi="Times New Roman"/>
          <w:b/>
          <w:bCs/>
          <w:sz w:val="24"/>
          <w:szCs w:val="24"/>
        </w:rPr>
        <w:t>el personal que realiza más actividades formativas pertenece a las entidades locales en que el personal de la Unidad de Soporte Económico debe realizar menos esfuerzo en el momento de asesorarlos</w:t>
      </w:r>
      <w:r w:rsidRPr="00CE3A56">
        <w:rPr>
          <w:rFonts w:ascii="Times New Roman" w:hAnsi="Times New Roman"/>
          <w:sz w:val="24"/>
          <w:szCs w:val="24"/>
        </w:rPr>
        <w:t xml:space="preserve">. </w:t>
      </w:r>
      <w:r w:rsidR="0081766C" w:rsidRPr="00CE3A56">
        <w:rPr>
          <w:rFonts w:ascii="Times New Roman" w:hAnsi="Times New Roman"/>
          <w:sz w:val="24"/>
          <w:szCs w:val="24"/>
        </w:rPr>
        <w:t>Y también</w:t>
      </w:r>
      <w:r w:rsidRPr="00CE3A56">
        <w:rPr>
          <w:rFonts w:ascii="Times New Roman" w:hAnsi="Times New Roman"/>
          <w:sz w:val="24"/>
          <w:szCs w:val="24"/>
        </w:rPr>
        <w:t xml:space="preserve"> que </w:t>
      </w:r>
      <w:r w:rsidRPr="00CE3A56">
        <w:rPr>
          <w:rFonts w:ascii="Times New Roman" w:hAnsi="Times New Roman"/>
          <w:b/>
          <w:bCs/>
          <w:sz w:val="24"/>
          <w:szCs w:val="24"/>
        </w:rPr>
        <w:t>las entidades locales más saneadas son aquellas en las que su personal realiza más formación.</w:t>
      </w:r>
      <w:r w:rsidR="00597928" w:rsidRPr="00CE3A56">
        <w:rPr>
          <w:rFonts w:ascii="Times New Roman" w:hAnsi="Times New Roman"/>
          <w:sz w:val="24"/>
          <w:szCs w:val="24"/>
        </w:rPr>
        <w:t xml:space="preserve"> </w:t>
      </w:r>
    </w:p>
    <w:p w14:paraId="73C0DA99" w14:textId="77777777" w:rsidR="003E04F1" w:rsidRPr="00CE3A56" w:rsidRDefault="0081766C" w:rsidP="00CC2C8A">
      <w:pPr>
        <w:tabs>
          <w:tab w:val="left" w:pos="1905"/>
        </w:tabs>
        <w:spacing w:line="240" w:lineRule="auto"/>
        <w:ind w:firstLine="284"/>
        <w:jc w:val="both"/>
        <w:rPr>
          <w:rFonts w:ascii="Times New Roman" w:hAnsi="Times New Roman"/>
          <w:sz w:val="24"/>
          <w:szCs w:val="24"/>
        </w:rPr>
      </w:pPr>
      <w:r w:rsidRPr="00CE3A56">
        <w:rPr>
          <w:rFonts w:ascii="Times New Roman" w:hAnsi="Times New Roman"/>
          <w:sz w:val="24"/>
          <w:szCs w:val="24"/>
        </w:rPr>
        <w:lastRenderedPageBreak/>
        <w:t>Concluimos</w:t>
      </w:r>
      <w:r w:rsidR="00597928" w:rsidRPr="00CE3A56">
        <w:rPr>
          <w:rFonts w:ascii="Times New Roman" w:hAnsi="Times New Roman"/>
          <w:sz w:val="24"/>
          <w:szCs w:val="24"/>
        </w:rPr>
        <w:t xml:space="preserve"> que el pilar fundamental que debe sostener la base de los Servicios de Asistencia Municipales debe ser la </w:t>
      </w:r>
      <w:r w:rsidR="00597928" w:rsidRPr="00CE3A56">
        <w:rPr>
          <w:rFonts w:ascii="Times New Roman" w:hAnsi="Times New Roman"/>
          <w:b/>
          <w:bCs/>
          <w:sz w:val="24"/>
          <w:szCs w:val="24"/>
        </w:rPr>
        <w:t>transferencia de conocimiento</w:t>
      </w:r>
      <w:r w:rsidR="00597928" w:rsidRPr="00CE3A56">
        <w:rPr>
          <w:rFonts w:ascii="Times New Roman" w:hAnsi="Times New Roman"/>
          <w:sz w:val="24"/>
          <w:szCs w:val="24"/>
        </w:rPr>
        <w:t xml:space="preserve"> para así lograr un impacto en los resultados económicos</w:t>
      </w:r>
      <w:r w:rsidR="003E04F1" w:rsidRPr="00CE3A56">
        <w:rPr>
          <w:rFonts w:ascii="Times New Roman" w:hAnsi="Times New Roman"/>
          <w:sz w:val="24"/>
          <w:szCs w:val="24"/>
        </w:rPr>
        <w:t xml:space="preserve"> y </w:t>
      </w:r>
      <w:r w:rsidR="008372FF" w:rsidRPr="00CE3A56">
        <w:rPr>
          <w:rFonts w:ascii="Times New Roman" w:hAnsi="Times New Roman"/>
          <w:sz w:val="24"/>
          <w:szCs w:val="24"/>
        </w:rPr>
        <w:t xml:space="preserve">en la eficiencia y eficacia de las entidades locales. De este modo, las Diputaciones han de llevar a cabo actividades destinadas a compartir conocimientos, experiencias y habilidades. </w:t>
      </w:r>
    </w:p>
    <w:p w14:paraId="3BB0EE0A" w14:textId="2E93B62E" w:rsidR="008372FF" w:rsidRPr="00CE3A56" w:rsidRDefault="008372FF" w:rsidP="00CC2C8A">
      <w:pPr>
        <w:tabs>
          <w:tab w:val="left" w:pos="1905"/>
        </w:tabs>
        <w:spacing w:line="240" w:lineRule="auto"/>
        <w:ind w:firstLine="284"/>
        <w:jc w:val="both"/>
        <w:rPr>
          <w:rFonts w:ascii="Times New Roman" w:hAnsi="Times New Roman"/>
          <w:sz w:val="24"/>
          <w:szCs w:val="24"/>
        </w:rPr>
      </w:pPr>
      <w:r w:rsidRPr="0060351B">
        <w:rPr>
          <w:rFonts w:ascii="Times New Roman" w:hAnsi="Times New Roman"/>
          <w:b/>
          <w:bCs/>
          <w:sz w:val="24"/>
          <w:szCs w:val="24"/>
        </w:rPr>
        <w:t>Invertir en conocimiento</w:t>
      </w:r>
      <w:r w:rsidRPr="00CE3A56">
        <w:rPr>
          <w:rFonts w:ascii="Times New Roman" w:hAnsi="Times New Roman"/>
          <w:sz w:val="24"/>
          <w:szCs w:val="24"/>
        </w:rPr>
        <w:t xml:space="preserve"> es la clave para optimizar los recursos de las Diputaciones y para tener administraciones más solventes. </w:t>
      </w:r>
    </w:p>
    <w:p w14:paraId="36220F6D" w14:textId="77777777" w:rsidR="003E04F1" w:rsidRPr="00CE3A56" w:rsidRDefault="00307A1A" w:rsidP="00CC2C8A">
      <w:pPr>
        <w:tabs>
          <w:tab w:val="left" w:pos="1905"/>
        </w:tabs>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Este cambio permitirá que el asesoramiento pueda </w:t>
      </w:r>
      <w:r w:rsidR="008372FF" w:rsidRPr="00CE3A56">
        <w:rPr>
          <w:rFonts w:ascii="Times New Roman" w:hAnsi="Times New Roman"/>
          <w:sz w:val="24"/>
          <w:szCs w:val="24"/>
        </w:rPr>
        <w:t xml:space="preserve">potenciar </w:t>
      </w:r>
      <w:r w:rsidRPr="00CE3A56">
        <w:rPr>
          <w:rFonts w:ascii="Times New Roman" w:hAnsi="Times New Roman"/>
          <w:sz w:val="24"/>
          <w:szCs w:val="24"/>
        </w:rPr>
        <w:t>su</w:t>
      </w:r>
      <w:r w:rsidR="008372FF" w:rsidRPr="00CE3A56">
        <w:rPr>
          <w:rFonts w:ascii="Times New Roman" w:hAnsi="Times New Roman"/>
          <w:sz w:val="24"/>
          <w:szCs w:val="24"/>
        </w:rPr>
        <w:t xml:space="preserve"> esfuerzo </w:t>
      </w:r>
      <w:r w:rsidRPr="00CE3A56">
        <w:rPr>
          <w:rFonts w:ascii="Times New Roman" w:hAnsi="Times New Roman"/>
          <w:sz w:val="24"/>
          <w:szCs w:val="24"/>
        </w:rPr>
        <w:t>en</w:t>
      </w:r>
      <w:r w:rsidR="008372FF" w:rsidRPr="00CE3A56">
        <w:rPr>
          <w:rFonts w:ascii="Times New Roman" w:hAnsi="Times New Roman"/>
          <w:sz w:val="24"/>
          <w:szCs w:val="24"/>
        </w:rPr>
        <w:t xml:space="preserve"> otras actividades, pudiendo ofrecer de esta manera servicios de alto valor añadido, los cuales provocarán una gestión eficiente de nuestros municipios, contribuyendo en última instancia en el desarrollo de nuestro territorio.</w:t>
      </w:r>
      <w:r w:rsidR="003E04F1" w:rsidRPr="00CE3A56">
        <w:rPr>
          <w:rFonts w:ascii="Times New Roman" w:hAnsi="Times New Roman"/>
          <w:sz w:val="24"/>
          <w:szCs w:val="24"/>
        </w:rPr>
        <w:t xml:space="preserve"> </w:t>
      </w:r>
    </w:p>
    <w:p w14:paraId="45D2ADFA" w14:textId="7AAA9234" w:rsidR="00CE3A56" w:rsidRPr="00CE3A56" w:rsidRDefault="00CE3A56" w:rsidP="00CC2C8A">
      <w:pPr>
        <w:tabs>
          <w:tab w:val="left" w:pos="1905"/>
        </w:tabs>
        <w:spacing w:line="240" w:lineRule="auto"/>
        <w:ind w:firstLine="284"/>
        <w:jc w:val="both"/>
        <w:rPr>
          <w:rFonts w:ascii="Times New Roman" w:hAnsi="Times New Roman"/>
          <w:sz w:val="24"/>
          <w:szCs w:val="24"/>
        </w:rPr>
      </w:pPr>
      <w:r w:rsidRPr="00CE3A56">
        <w:rPr>
          <w:rFonts w:ascii="Times New Roman" w:hAnsi="Times New Roman"/>
          <w:sz w:val="24"/>
          <w:szCs w:val="24"/>
        </w:rPr>
        <w:t xml:space="preserve">Este </w:t>
      </w:r>
      <w:r w:rsidRPr="0060351B">
        <w:rPr>
          <w:rFonts w:ascii="Times New Roman" w:hAnsi="Times New Roman"/>
          <w:b/>
          <w:bCs/>
          <w:sz w:val="24"/>
          <w:szCs w:val="24"/>
        </w:rPr>
        <w:t>nuevo paradigma de asesoramiento</w:t>
      </w:r>
      <w:r w:rsidRPr="00CE3A56">
        <w:rPr>
          <w:rFonts w:ascii="Times New Roman" w:hAnsi="Times New Roman"/>
          <w:sz w:val="24"/>
          <w:szCs w:val="24"/>
        </w:rPr>
        <w:t xml:space="preserve"> basado en la transferencia de conocimiento implica que el personal de la entidad local tiene la capacidad de controlar, afrontar y tomar, por propia iniciativa decisiones en la gestión económica de su entidad. La adquisición de conocimientos empodera a los trabajadores de las entidades locales a lograr nuevos retos y plantearse nuevos retos ya que tiene el conocimiento. Así, la transferencia de conocimiento se convierte en una herramienta para luchar</w:t>
      </w:r>
      <w:r w:rsidR="00CD7938" w:rsidRPr="00CE3A56">
        <w:rPr>
          <w:rFonts w:ascii="Times New Roman" w:hAnsi="Times New Roman"/>
          <w:sz w:val="24"/>
          <w:szCs w:val="24"/>
        </w:rPr>
        <w:t xml:space="preserve"> contra la fuga de talento</w:t>
      </w:r>
      <w:r w:rsidRPr="00CE3A56">
        <w:rPr>
          <w:rFonts w:ascii="Times New Roman" w:hAnsi="Times New Roman"/>
          <w:sz w:val="24"/>
          <w:szCs w:val="24"/>
        </w:rPr>
        <w:t xml:space="preserve"> en las entidades locales.</w:t>
      </w:r>
    </w:p>
    <w:p w14:paraId="6A8AB4B0" w14:textId="04F8E489" w:rsidR="008372FF" w:rsidRPr="0060351B" w:rsidRDefault="00CD7938" w:rsidP="00CC2C8A">
      <w:pPr>
        <w:tabs>
          <w:tab w:val="left" w:pos="1905"/>
        </w:tabs>
        <w:spacing w:line="240" w:lineRule="auto"/>
        <w:ind w:firstLine="284"/>
        <w:jc w:val="both"/>
        <w:rPr>
          <w:rFonts w:ascii="Times New Roman" w:hAnsi="Times New Roman"/>
          <w:b/>
          <w:bCs/>
          <w:sz w:val="24"/>
          <w:szCs w:val="24"/>
        </w:rPr>
      </w:pPr>
      <w:r w:rsidRPr="00CE3A56">
        <w:rPr>
          <w:rFonts w:ascii="Times New Roman" w:hAnsi="Times New Roman"/>
          <w:sz w:val="24"/>
          <w:szCs w:val="24"/>
        </w:rPr>
        <w:t>L</w:t>
      </w:r>
      <w:r w:rsidR="008372FF" w:rsidRPr="00CE3A56">
        <w:rPr>
          <w:rFonts w:ascii="Times New Roman" w:hAnsi="Times New Roman"/>
          <w:sz w:val="24"/>
          <w:szCs w:val="24"/>
        </w:rPr>
        <w:t>a transferencia de conocimiento y la retención de talento</w:t>
      </w:r>
      <w:r w:rsidR="00CE3A56" w:rsidRPr="00CE3A56">
        <w:rPr>
          <w:rFonts w:ascii="Times New Roman" w:hAnsi="Times New Roman"/>
          <w:sz w:val="24"/>
          <w:szCs w:val="24"/>
        </w:rPr>
        <w:t xml:space="preserve"> </w:t>
      </w:r>
      <w:r w:rsidR="008372FF" w:rsidRPr="00CE3A56">
        <w:rPr>
          <w:rFonts w:ascii="Times New Roman" w:hAnsi="Times New Roman"/>
          <w:sz w:val="24"/>
          <w:szCs w:val="24"/>
        </w:rPr>
        <w:t xml:space="preserve">unidos </w:t>
      </w:r>
      <w:r w:rsidR="00CE3A56" w:rsidRPr="00CE3A56">
        <w:rPr>
          <w:rFonts w:ascii="Times New Roman" w:hAnsi="Times New Roman"/>
          <w:sz w:val="24"/>
          <w:szCs w:val="24"/>
        </w:rPr>
        <w:t>a la explotación de indicadores de gestión</w:t>
      </w:r>
      <w:r w:rsidR="008372FF" w:rsidRPr="004963EF">
        <w:rPr>
          <w:rFonts w:ascii="Times New Roman" w:hAnsi="Times New Roman"/>
          <w:sz w:val="24"/>
          <w:szCs w:val="24"/>
        </w:rPr>
        <w:t xml:space="preserve"> contribu</w:t>
      </w:r>
      <w:r w:rsidR="00CE3A56">
        <w:rPr>
          <w:rFonts w:ascii="Times New Roman" w:hAnsi="Times New Roman"/>
          <w:sz w:val="24"/>
          <w:szCs w:val="24"/>
        </w:rPr>
        <w:t>ye</w:t>
      </w:r>
      <w:r w:rsidR="008372FF" w:rsidRPr="004963EF">
        <w:rPr>
          <w:rFonts w:ascii="Times New Roman" w:hAnsi="Times New Roman"/>
          <w:sz w:val="24"/>
          <w:szCs w:val="24"/>
        </w:rPr>
        <w:t xml:space="preserve"> de forma directa a alcanzar una </w:t>
      </w:r>
      <w:r w:rsidR="008372FF" w:rsidRPr="0060351B">
        <w:rPr>
          <w:rFonts w:ascii="Times New Roman" w:hAnsi="Times New Roman"/>
          <w:b/>
          <w:bCs/>
          <w:sz w:val="24"/>
          <w:szCs w:val="24"/>
        </w:rPr>
        <w:t>administración local eficaz y eficiente, es decir</w:t>
      </w:r>
      <w:r w:rsidR="00877B64" w:rsidRPr="0060351B">
        <w:rPr>
          <w:rFonts w:ascii="Times New Roman" w:hAnsi="Times New Roman"/>
          <w:b/>
          <w:bCs/>
          <w:sz w:val="24"/>
          <w:szCs w:val="24"/>
        </w:rPr>
        <w:t>,</w:t>
      </w:r>
      <w:r w:rsidR="008372FF" w:rsidRPr="0060351B">
        <w:rPr>
          <w:rFonts w:ascii="Times New Roman" w:hAnsi="Times New Roman"/>
          <w:b/>
          <w:bCs/>
          <w:sz w:val="24"/>
          <w:szCs w:val="24"/>
        </w:rPr>
        <w:t xml:space="preserve"> una administración excelente.</w:t>
      </w:r>
    </w:p>
    <w:p w14:paraId="6642A5F1" w14:textId="77777777" w:rsidR="008372FF" w:rsidRDefault="008372FF" w:rsidP="008372FF">
      <w:pPr>
        <w:tabs>
          <w:tab w:val="left" w:pos="1905"/>
        </w:tabs>
        <w:spacing w:after="120" w:line="360" w:lineRule="auto"/>
        <w:jc w:val="both"/>
        <w:rPr>
          <w:rFonts w:ascii="Arial" w:hAnsi="Arial" w:cs="Arial"/>
          <w:sz w:val="24"/>
          <w:szCs w:val="24"/>
        </w:rPr>
      </w:pPr>
    </w:p>
    <w:p w14:paraId="36E13198" w14:textId="6F043F05" w:rsidR="00BB5412" w:rsidRPr="00BB5412" w:rsidRDefault="00BB5412" w:rsidP="00BB5412">
      <w:pPr>
        <w:spacing w:line="240" w:lineRule="auto"/>
        <w:jc w:val="both"/>
        <w:rPr>
          <w:rFonts w:ascii="Times New Roman" w:hAnsi="Times New Roman"/>
          <w:b/>
          <w:sz w:val="24"/>
          <w:szCs w:val="24"/>
        </w:rPr>
      </w:pPr>
      <w:r w:rsidRPr="00BB5412">
        <w:rPr>
          <w:rFonts w:ascii="Times New Roman" w:hAnsi="Times New Roman"/>
          <w:b/>
          <w:sz w:val="24"/>
          <w:szCs w:val="24"/>
        </w:rPr>
        <w:t xml:space="preserve">REFERENCIAS </w:t>
      </w:r>
    </w:p>
    <w:p w14:paraId="77A76954" w14:textId="728F2659" w:rsidR="000263F0" w:rsidRDefault="000263F0" w:rsidP="000263F0">
      <w:pPr>
        <w:spacing w:line="240" w:lineRule="auto"/>
        <w:ind w:left="709" w:hanging="709"/>
        <w:jc w:val="both"/>
        <w:rPr>
          <w:rFonts w:ascii="Times New Roman" w:hAnsi="Times New Roman"/>
          <w:sz w:val="24"/>
          <w:szCs w:val="24"/>
        </w:rPr>
      </w:pPr>
      <w:r>
        <w:rPr>
          <w:rFonts w:ascii="Times New Roman" w:hAnsi="Times New Roman"/>
          <w:sz w:val="24"/>
          <w:szCs w:val="24"/>
        </w:rPr>
        <w:t>Aranda, J. y Gómez J.</w:t>
      </w:r>
      <w:r w:rsidRPr="000263F0">
        <w:rPr>
          <w:rFonts w:ascii="Times New Roman" w:hAnsi="Times New Roman"/>
          <w:sz w:val="24"/>
          <w:szCs w:val="24"/>
        </w:rPr>
        <w:t xml:space="preserve"> (</w:t>
      </w:r>
      <w:r>
        <w:rPr>
          <w:rFonts w:ascii="Times New Roman" w:hAnsi="Times New Roman"/>
          <w:sz w:val="24"/>
          <w:szCs w:val="24"/>
        </w:rPr>
        <w:t>2002</w:t>
      </w:r>
      <w:r w:rsidRPr="000263F0">
        <w:rPr>
          <w:rFonts w:ascii="Times New Roman" w:hAnsi="Times New Roman"/>
          <w:sz w:val="24"/>
          <w:szCs w:val="24"/>
        </w:rPr>
        <w:t xml:space="preserve">). </w:t>
      </w:r>
      <w:r>
        <w:rPr>
          <w:rFonts w:ascii="Times New Roman" w:hAnsi="Times New Roman"/>
          <w:i/>
          <w:sz w:val="24"/>
          <w:szCs w:val="24"/>
        </w:rPr>
        <w:t>Fundamentos de estadística para economía y administración de empresas</w:t>
      </w:r>
      <w:r w:rsidRPr="000263F0">
        <w:rPr>
          <w:rFonts w:ascii="Times New Roman" w:hAnsi="Times New Roman"/>
          <w:sz w:val="24"/>
          <w:szCs w:val="24"/>
        </w:rPr>
        <w:t xml:space="preserve">. </w:t>
      </w:r>
      <w:r>
        <w:rPr>
          <w:rFonts w:ascii="Times New Roman" w:hAnsi="Times New Roman"/>
          <w:sz w:val="24"/>
          <w:szCs w:val="24"/>
        </w:rPr>
        <w:t xml:space="preserve">Ed. Diego Marin Librero Editor. </w:t>
      </w:r>
    </w:p>
    <w:p w14:paraId="295016B3" w14:textId="2A252B8B" w:rsidR="00BB5412" w:rsidRPr="00F960DD" w:rsidRDefault="0061335D" w:rsidP="00BB5412">
      <w:pPr>
        <w:spacing w:line="240" w:lineRule="auto"/>
        <w:ind w:left="709" w:hanging="709"/>
        <w:jc w:val="both"/>
        <w:rPr>
          <w:rFonts w:ascii="Times New Roman" w:hAnsi="Times New Roman"/>
          <w:sz w:val="24"/>
          <w:szCs w:val="24"/>
        </w:rPr>
      </w:pPr>
      <w:r w:rsidRPr="0061335D">
        <w:rPr>
          <w:rFonts w:ascii="Times New Roman" w:hAnsi="Times New Roman"/>
          <w:sz w:val="24"/>
          <w:szCs w:val="24"/>
        </w:rPr>
        <w:t>Cid, F</w:t>
      </w:r>
      <w:r w:rsidR="000263F0">
        <w:rPr>
          <w:rFonts w:ascii="Times New Roman" w:hAnsi="Times New Roman"/>
          <w:sz w:val="24"/>
          <w:szCs w:val="24"/>
        </w:rPr>
        <w:t>.</w:t>
      </w:r>
      <w:r w:rsidRPr="0061335D">
        <w:rPr>
          <w:rFonts w:ascii="Times New Roman" w:hAnsi="Times New Roman"/>
          <w:sz w:val="24"/>
          <w:szCs w:val="24"/>
        </w:rPr>
        <w:t xml:space="preserve"> y Gras, N.</w:t>
      </w:r>
      <w:r w:rsidR="00BB5412" w:rsidRPr="0061335D">
        <w:rPr>
          <w:rFonts w:ascii="Times New Roman" w:hAnsi="Times New Roman"/>
          <w:sz w:val="24"/>
          <w:szCs w:val="24"/>
        </w:rPr>
        <w:t xml:space="preserve"> (20</w:t>
      </w:r>
      <w:r>
        <w:rPr>
          <w:rFonts w:ascii="Times New Roman" w:hAnsi="Times New Roman"/>
          <w:sz w:val="24"/>
          <w:szCs w:val="24"/>
        </w:rPr>
        <w:t>1</w:t>
      </w:r>
      <w:r w:rsidR="00BB5412" w:rsidRPr="0061335D">
        <w:rPr>
          <w:rFonts w:ascii="Times New Roman" w:hAnsi="Times New Roman"/>
          <w:sz w:val="24"/>
          <w:szCs w:val="24"/>
        </w:rPr>
        <w:t xml:space="preserve">0). </w:t>
      </w:r>
      <w:r w:rsidRPr="0061335D">
        <w:rPr>
          <w:rFonts w:ascii="Times New Roman" w:hAnsi="Times New Roman"/>
          <w:sz w:val="24"/>
          <w:szCs w:val="24"/>
        </w:rPr>
        <w:t>Gestión financiera en el marco de</w:t>
      </w:r>
      <w:r>
        <w:rPr>
          <w:rFonts w:ascii="Times New Roman" w:hAnsi="Times New Roman"/>
          <w:sz w:val="24"/>
          <w:szCs w:val="24"/>
        </w:rPr>
        <w:t xml:space="preserve"> un sistema de gestió de la calidad. Cuadro de mando de la gestión económico financiera y no financiera de una entidad local. Principales indicadores</w:t>
      </w:r>
      <w:r w:rsidR="003D6EC3" w:rsidRPr="0061335D">
        <w:rPr>
          <w:rFonts w:ascii="Times New Roman" w:hAnsi="Times New Roman"/>
          <w:sz w:val="24"/>
          <w:szCs w:val="24"/>
        </w:rPr>
        <w:t>,</w:t>
      </w:r>
      <w:r w:rsidR="00BB5412" w:rsidRPr="0061335D">
        <w:rPr>
          <w:rFonts w:ascii="Times New Roman" w:hAnsi="Times New Roman"/>
          <w:sz w:val="24"/>
          <w:szCs w:val="24"/>
        </w:rPr>
        <w:t xml:space="preserve"> </w:t>
      </w:r>
      <w:r>
        <w:rPr>
          <w:rFonts w:ascii="Times New Roman" w:hAnsi="Times New Roman"/>
          <w:i/>
          <w:sz w:val="24"/>
          <w:szCs w:val="24"/>
        </w:rPr>
        <w:t>Revista de estudios locales, 132</w:t>
      </w:r>
      <w:r w:rsidR="00BB5412" w:rsidRPr="0061335D">
        <w:rPr>
          <w:rFonts w:ascii="Times New Roman" w:hAnsi="Times New Roman"/>
          <w:sz w:val="24"/>
          <w:szCs w:val="24"/>
        </w:rPr>
        <w:t xml:space="preserve">, </w:t>
      </w:r>
      <w:r w:rsidR="000263F0">
        <w:rPr>
          <w:rFonts w:ascii="Times New Roman" w:hAnsi="Times New Roman"/>
          <w:sz w:val="24"/>
          <w:szCs w:val="24"/>
        </w:rPr>
        <w:t>138-197</w:t>
      </w:r>
      <w:r w:rsidR="00BB5412" w:rsidRPr="0061335D">
        <w:rPr>
          <w:rFonts w:ascii="Times New Roman" w:hAnsi="Times New Roman"/>
          <w:sz w:val="24"/>
          <w:szCs w:val="24"/>
        </w:rPr>
        <w:t xml:space="preserve">. </w:t>
      </w:r>
    </w:p>
    <w:p w14:paraId="008391D8" w14:textId="4C1A56F6" w:rsidR="00BB5412" w:rsidRDefault="000263F0" w:rsidP="00BB5412">
      <w:pPr>
        <w:spacing w:line="240" w:lineRule="auto"/>
        <w:ind w:left="709" w:hanging="709"/>
        <w:jc w:val="both"/>
        <w:rPr>
          <w:rFonts w:ascii="Times New Roman" w:hAnsi="Times New Roman"/>
          <w:sz w:val="24"/>
          <w:szCs w:val="24"/>
        </w:rPr>
      </w:pPr>
      <w:r>
        <w:rPr>
          <w:rFonts w:ascii="Times New Roman" w:hAnsi="Times New Roman"/>
          <w:sz w:val="24"/>
          <w:szCs w:val="24"/>
        </w:rPr>
        <w:t xml:space="preserve">Lind, DA </w:t>
      </w:r>
      <w:r w:rsidRPr="000263F0">
        <w:rPr>
          <w:rFonts w:ascii="Times New Roman" w:hAnsi="Times New Roman"/>
          <w:i/>
          <w:iCs/>
          <w:sz w:val="24"/>
          <w:szCs w:val="24"/>
        </w:rPr>
        <w:t>et al</w:t>
      </w:r>
      <w:r>
        <w:rPr>
          <w:rFonts w:ascii="Times New Roman" w:hAnsi="Times New Roman"/>
          <w:sz w:val="24"/>
          <w:szCs w:val="24"/>
        </w:rPr>
        <w:t xml:space="preserve"> </w:t>
      </w:r>
      <w:r w:rsidR="00BB5412" w:rsidRPr="000263F0">
        <w:rPr>
          <w:rFonts w:ascii="Times New Roman" w:hAnsi="Times New Roman"/>
          <w:sz w:val="24"/>
          <w:szCs w:val="24"/>
        </w:rPr>
        <w:t>(</w:t>
      </w:r>
      <w:r w:rsidRPr="000263F0">
        <w:rPr>
          <w:rFonts w:ascii="Times New Roman" w:hAnsi="Times New Roman"/>
          <w:sz w:val="24"/>
          <w:szCs w:val="24"/>
        </w:rPr>
        <w:t>201</w:t>
      </w:r>
      <w:r>
        <w:rPr>
          <w:rFonts w:ascii="Times New Roman" w:hAnsi="Times New Roman"/>
          <w:sz w:val="24"/>
          <w:szCs w:val="24"/>
        </w:rPr>
        <w:t>5</w:t>
      </w:r>
      <w:r w:rsidR="00BB5412" w:rsidRPr="000263F0">
        <w:rPr>
          <w:rFonts w:ascii="Times New Roman" w:hAnsi="Times New Roman"/>
          <w:sz w:val="24"/>
          <w:szCs w:val="24"/>
        </w:rPr>
        <w:t xml:space="preserve">). </w:t>
      </w:r>
      <w:r w:rsidRPr="000263F0">
        <w:rPr>
          <w:rFonts w:ascii="Times New Roman" w:hAnsi="Times New Roman"/>
          <w:i/>
          <w:sz w:val="24"/>
          <w:szCs w:val="24"/>
        </w:rPr>
        <w:t>Estadística</w:t>
      </w:r>
      <w:r>
        <w:rPr>
          <w:rFonts w:ascii="Times New Roman" w:hAnsi="Times New Roman"/>
          <w:i/>
          <w:sz w:val="24"/>
          <w:szCs w:val="24"/>
        </w:rPr>
        <w:t xml:space="preserve"> aplicada a los negocios y a la economia.</w:t>
      </w:r>
      <w:r w:rsidRPr="000263F0">
        <w:rPr>
          <w:rFonts w:ascii="Times New Roman" w:hAnsi="Times New Roman"/>
          <w:i/>
          <w:sz w:val="24"/>
          <w:szCs w:val="24"/>
        </w:rPr>
        <w:t xml:space="preserve"> I</w:t>
      </w:r>
      <w:r w:rsidR="00BB5412" w:rsidRPr="000263F0">
        <w:rPr>
          <w:rFonts w:ascii="Times New Roman" w:hAnsi="Times New Roman"/>
          <w:sz w:val="24"/>
          <w:szCs w:val="24"/>
        </w:rPr>
        <w:t xml:space="preserve">. </w:t>
      </w:r>
      <w:r>
        <w:rPr>
          <w:rFonts w:ascii="Times New Roman" w:hAnsi="Times New Roman"/>
          <w:sz w:val="24"/>
          <w:szCs w:val="24"/>
        </w:rPr>
        <w:t xml:space="preserve">Ed. McGrau Hill. </w:t>
      </w:r>
    </w:p>
    <w:p w14:paraId="76BDC856" w14:textId="28EC97A4" w:rsidR="0061335D" w:rsidRDefault="000263F0" w:rsidP="00BB5412">
      <w:pPr>
        <w:spacing w:line="240" w:lineRule="auto"/>
        <w:ind w:left="709" w:hanging="709"/>
        <w:jc w:val="both"/>
        <w:rPr>
          <w:rFonts w:ascii="Times New Roman" w:hAnsi="Times New Roman"/>
          <w:b/>
          <w:sz w:val="24"/>
          <w:szCs w:val="24"/>
        </w:rPr>
      </w:pPr>
      <w:r w:rsidRPr="000263F0">
        <w:rPr>
          <w:rFonts w:ascii="Times New Roman" w:hAnsi="Times New Roman"/>
          <w:sz w:val="24"/>
          <w:szCs w:val="24"/>
        </w:rPr>
        <w:t xml:space="preserve">Martin Pliego, F y Ruiz Maya, L (2001). </w:t>
      </w:r>
      <w:r w:rsidRPr="000263F0">
        <w:rPr>
          <w:rFonts w:ascii="Times New Roman" w:hAnsi="Times New Roman"/>
          <w:i/>
          <w:sz w:val="24"/>
          <w:szCs w:val="24"/>
        </w:rPr>
        <w:t>Estadística I</w:t>
      </w:r>
      <w:r w:rsidRPr="000263F0">
        <w:rPr>
          <w:rFonts w:ascii="Times New Roman" w:hAnsi="Times New Roman"/>
          <w:sz w:val="24"/>
          <w:szCs w:val="24"/>
        </w:rPr>
        <w:t xml:space="preserve">. </w:t>
      </w:r>
      <w:r>
        <w:rPr>
          <w:rFonts w:ascii="Times New Roman" w:hAnsi="Times New Roman"/>
          <w:sz w:val="24"/>
          <w:szCs w:val="24"/>
        </w:rPr>
        <w:t xml:space="preserve">Ed. Thomson. </w:t>
      </w:r>
    </w:p>
    <w:sectPr w:rsidR="0061335D" w:rsidSect="00283904">
      <w:headerReference w:type="default" r:id="rId16"/>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650E" w14:textId="77777777" w:rsidR="0028110D" w:rsidRDefault="0028110D" w:rsidP="003A1870">
      <w:pPr>
        <w:spacing w:after="0" w:line="240" w:lineRule="auto"/>
      </w:pPr>
      <w:r>
        <w:separator/>
      </w:r>
    </w:p>
  </w:endnote>
  <w:endnote w:type="continuationSeparator" w:id="0">
    <w:p w14:paraId="3807E4C5" w14:textId="77777777" w:rsidR="0028110D" w:rsidRDefault="0028110D"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7717" w14:textId="77777777" w:rsidR="0028110D" w:rsidRDefault="0028110D" w:rsidP="003A1870">
      <w:pPr>
        <w:spacing w:after="0" w:line="240" w:lineRule="auto"/>
      </w:pPr>
      <w:r>
        <w:separator/>
      </w:r>
    </w:p>
  </w:footnote>
  <w:footnote w:type="continuationSeparator" w:id="0">
    <w:p w14:paraId="04EDF759" w14:textId="77777777" w:rsidR="0028110D" w:rsidRDefault="0028110D" w:rsidP="003A1870">
      <w:pPr>
        <w:spacing w:after="0" w:line="240" w:lineRule="auto"/>
      </w:pPr>
      <w:r>
        <w:continuationSeparator/>
      </w:r>
    </w:p>
  </w:footnote>
  <w:footnote w:id="1">
    <w:p w14:paraId="22356D8F" w14:textId="77777777" w:rsidR="008372FF" w:rsidRPr="00BF5D53" w:rsidRDefault="008372FF" w:rsidP="00BF5D53">
      <w:pPr>
        <w:pStyle w:val="Textonotapie"/>
        <w:jc w:val="both"/>
        <w:rPr>
          <w:rFonts w:ascii="Times New Roman" w:hAnsi="Times New Roman"/>
        </w:rPr>
      </w:pPr>
      <w:r>
        <w:rPr>
          <w:rStyle w:val="Refdenotaalpie"/>
        </w:rPr>
        <w:footnoteRef/>
      </w:r>
      <w:r>
        <w:t xml:space="preserve"> </w:t>
      </w:r>
      <w:r w:rsidRPr="00BF5D53">
        <w:rPr>
          <w:rFonts w:ascii="Times New Roman" w:hAnsi="Times New Roman"/>
          <w:color w:val="202124"/>
          <w:shd w:val="clear" w:color="auto" w:fill="FFFFFF"/>
        </w:rPr>
        <w:t xml:space="preserve">Se utilizan </w:t>
      </w:r>
      <w:r w:rsidRPr="00BF5D53">
        <w:rPr>
          <w:rFonts w:ascii="Times New Roman" w:hAnsi="Times New Roman"/>
          <w:b/>
          <w:bCs/>
          <w:color w:val="202124"/>
          <w:shd w:val="clear" w:color="auto" w:fill="FFFFFF"/>
        </w:rPr>
        <w:t>técnicas estadísticas</w:t>
      </w:r>
      <w:r w:rsidRPr="00BF5D53">
        <w:rPr>
          <w:rFonts w:ascii="Times New Roman" w:hAnsi="Times New Roman"/>
          <w:color w:val="202124"/>
          <w:shd w:val="clear" w:color="auto" w:fill="FFFFFF"/>
        </w:rPr>
        <w:t> para el análisis ya que estas proporcionan información sobre la situación, dispersión y otros patrones de comportamiento de los datos.  Esto nos permite captar rápidamente la estructura de los datos y también poder compararlos.</w:t>
      </w:r>
    </w:p>
  </w:footnote>
  <w:footnote w:id="2">
    <w:p w14:paraId="76B8BE8B" w14:textId="77777777" w:rsidR="008372FF" w:rsidRPr="00BF5D53" w:rsidRDefault="008372FF" w:rsidP="00BF5D53">
      <w:pPr>
        <w:spacing w:after="0" w:line="240" w:lineRule="auto"/>
        <w:jc w:val="both"/>
        <w:rPr>
          <w:rFonts w:ascii="Times New Roman" w:hAnsi="Times New Roman"/>
          <w:sz w:val="20"/>
          <w:szCs w:val="20"/>
          <w:lang w:eastAsia="ca-ES"/>
        </w:rPr>
      </w:pPr>
      <w:r w:rsidRPr="00BF5D53">
        <w:rPr>
          <w:rStyle w:val="Refdenotaalpie"/>
          <w:rFonts w:ascii="Times New Roman" w:hAnsi="Times New Roman"/>
          <w:sz w:val="20"/>
          <w:szCs w:val="20"/>
        </w:rPr>
        <w:footnoteRef/>
      </w:r>
      <w:r w:rsidRPr="00BF5D53">
        <w:rPr>
          <w:rFonts w:ascii="Times New Roman" w:hAnsi="Times New Roman"/>
          <w:sz w:val="20"/>
          <w:szCs w:val="20"/>
        </w:rPr>
        <w:t xml:space="preserve"> </w:t>
      </w:r>
      <w:r w:rsidRPr="00BF5D53">
        <w:rPr>
          <w:rFonts w:ascii="Times New Roman" w:hAnsi="Times New Roman"/>
          <w:color w:val="000000" w:themeColor="text1"/>
          <w:kern w:val="24"/>
          <w:sz w:val="20"/>
          <w:szCs w:val="20"/>
          <w:lang w:eastAsia="ca-ES"/>
        </w:rPr>
        <w:t>La interpretación de los resultados es la siguiente:</w:t>
      </w:r>
    </w:p>
    <w:p w14:paraId="2872D229" w14:textId="77777777" w:rsidR="008372FF" w:rsidRPr="00BF5D53" w:rsidRDefault="008372FF" w:rsidP="00BF5D53">
      <w:pPr>
        <w:numPr>
          <w:ilvl w:val="0"/>
          <w:numId w:val="8"/>
        </w:numPr>
        <w:spacing w:after="0" w:line="240" w:lineRule="auto"/>
        <w:ind w:left="1267"/>
        <w:contextualSpacing/>
        <w:jc w:val="both"/>
        <w:rPr>
          <w:rFonts w:ascii="Times New Roman" w:hAnsi="Times New Roman"/>
          <w:sz w:val="20"/>
          <w:szCs w:val="20"/>
          <w:lang w:eastAsia="ca-ES"/>
        </w:rPr>
      </w:pPr>
      <w:r w:rsidRPr="00BF5D53">
        <w:rPr>
          <w:rFonts w:ascii="Times New Roman" w:hAnsi="Times New Roman"/>
          <w:color w:val="000000" w:themeColor="text1"/>
          <w:kern w:val="24"/>
          <w:sz w:val="20"/>
          <w:szCs w:val="20"/>
          <w:lang w:eastAsia="ca-ES"/>
        </w:rPr>
        <w:t>Si R = 1: correlación perfecta positiva</w:t>
      </w:r>
    </w:p>
    <w:p w14:paraId="57F52584" w14:textId="77777777" w:rsidR="008372FF" w:rsidRPr="00BF5D53" w:rsidRDefault="008372FF" w:rsidP="00BF5D53">
      <w:pPr>
        <w:numPr>
          <w:ilvl w:val="0"/>
          <w:numId w:val="8"/>
        </w:numPr>
        <w:spacing w:after="0" w:line="240" w:lineRule="auto"/>
        <w:ind w:left="1267"/>
        <w:contextualSpacing/>
        <w:jc w:val="both"/>
        <w:rPr>
          <w:rFonts w:ascii="Times New Roman" w:hAnsi="Times New Roman"/>
          <w:sz w:val="20"/>
          <w:szCs w:val="20"/>
          <w:lang w:eastAsia="ca-ES"/>
        </w:rPr>
      </w:pPr>
      <w:r w:rsidRPr="00BF5D53">
        <w:rPr>
          <w:rFonts w:ascii="Times New Roman" w:hAnsi="Times New Roman"/>
          <w:color w:val="000000" w:themeColor="text1"/>
          <w:kern w:val="24"/>
          <w:sz w:val="20"/>
          <w:szCs w:val="20"/>
          <w:lang w:eastAsia="ca-ES"/>
        </w:rPr>
        <w:t>Si 0&lt;R&lt;1: correlación positiva</w:t>
      </w:r>
    </w:p>
    <w:p w14:paraId="72AD22C0" w14:textId="77777777" w:rsidR="008372FF" w:rsidRPr="00BF5D53" w:rsidRDefault="008372FF" w:rsidP="00BF5D53">
      <w:pPr>
        <w:numPr>
          <w:ilvl w:val="0"/>
          <w:numId w:val="8"/>
        </w:numPr>
        <w:spacing w:after="0" w:line="240" w:lineRule="auto"/>
        <w:ind w:left="1267"/>
        <w:contextualSpacing/>
        <w:jc w:val="both"/>
        <w:rPr>
          <w:rFonts w:ascii="Times New Roman" w:hAnsi="Times New Roman"/>
          <w:sz w:val="20"/>
          <w:szCs w:val="20"/>
          <w:lang w:eastAsia="ca-ES"/>
        </w:rPr>
      </w:pPr>
      <w:r w:rsidRPr="00BF5D53">
        <w:rPr>
          <w:rFonts w:ascii="Times New Roman" w:hAnsi="Times New Roman"/>
          <w:color w:val="000000" w:themeColor="text1"/>
          <w:kern w:val="24"/>
          <w:sz w:val="20"/>
          <w:szCs w:val="20"/>
          <w:lang w:eastAsia="ca-ES"/>
        </w:rPr>
        <w:t>Si R = 0: no hay una relación lineal entre les variables</w:t>
      </w:r>
    </w:p>
    <w:p w14:paraId="771B0BDE" w14:textId="77777777" w:rsidR="008372FF" w:rsidRPr="00BF5D53" w:rsidRDefault="008372FF" w:rsidP="00BF5D53">
      <w:pPr>
        <w:numPr>
          <w:ilvl w:val="0"/>
          <w:numId w:val="8"/>
        </w:numPr>
        <w:spacing w:after="0" w:line="240" w:lineRule="auto"/>
        <w:ind w:left="1267"/>
        <w:contextualSpacing/>
        <w:jc w:val="both"/>
        <w:rPr>
          <w:rFonts w:ascii="Times New Roman" w:hAnsi="Times New Roman"/>
          <w:sz w:val="20"/>
          <w:szCs w:val="20"/>
          <w:lang w:eastAsia="ca-ES"/>
        </w:rPr>
      </w:pPr>
      <w:r w:rsidRPr="00BF5D53">
        <w:rPr>
          <w:rFonts w:ascii="Times New Roman" w:hAnsi="Times New Roman"/>
          <w:color w:val="000000" w:themeColor="text1"/>
          <w:kern w:val="24"/>
          <w:sz w:val="20"/>
          <w:szCs w:val="20"/>
          <w:lang w:eastAsia="ca-ES"/>
        </w:rPr>
        <w:t>Si -1 &lt; R &lt; 0: correlación negativa</w:t>
      </w:r>
    </w:p>
    <w:p w14:paraId="63A3480B" w14:textId="77777777" w:rsidR="008372FF" w:rsidRPr="00BF5D53" w:rsidRDefault="008372FF" w:rsidP="00BF5D53">
      <w:pPr>
        <w:numPr>
          <w:ilvl w:val="0"/>
          <w:numId w:val="8"/>
        </w:numPr>
        <w:spacing w:after="0" w:line="240" w:lineRule="auto"/>
        <w:ind w:left="1267"/>
        <w:contextualSpacing/>
        <w:jc w:val="both"/>
        <w:rPr>
          <w:rFonts w:ascii="Times New Roman" w:hAnsi="Times New Roman"/>
          <w:sz w:val="20"/>
          <w:szCs w:val="20"/>
          <w:lang w:eastAsia="ca-ES"/>
        </w:rPr>
      </w:pPr>
      <w:r w:rsidRPr="00BF5D53">
        <w:rPr>
          <w:rFonts w:ascii="Times New Roman" w:hAnsi="Times New Roman"/>
          <w:color w:val="000000" w:themeColor="text1"/>
          <w:kern w:val="24"/>
          <w:sz w:val="20"/>
          <w:szCs w:val="20"/>
          <w:lang w:eastAsia="ca-ES"/>
        </w:rPr>
        <w:t>Si R = -1: correlación perfectamente negativa</w:t>
      </w:r>
    </w:p>
    <w:p w14:paraId="0A0FCCB4" w14:textId="77777777" w:rsidR="008372FF" w:rsidRPr="00AA7B31" w:rsidRDefault="008372FF" w:rsidP="008372FF">
      <w:pPr>
        <w:pStyle w:val="Textonotapie"/>
        <w:rPr>
          <w:lang w:val="ca-ES"/>
        </w:rPr>
      </w:pPr>
    </w:p>
  </w:footnote>
  <w:footnote w:id="3">
    <w:p w14:paraId="2105D41B" w14:textId="77777777" w:rsidR="008372FF" w:rsidRPr="00BF5D53" w:rsidRDefault="008372FF" w:rsidP="00BF5D53">
      <w:pPr>
        <w:pStyle w:val="Textonotapie"/>
        <w:jc w:val="both"/>
        <w:rPr>
          <w:rFonts w:ascii="Times New Roman" w:hAnsi="Times New Roman"/>
          <w:lang w:val="ca-ES"/>
        </w:rPr>
      </w:pPr>
      <w:r w:rsidRPr="00BF5D53">
        <w:rPr>
          <w:rStyle w:val="Refdenotaalpie"/>
          <w:rFonts w:ascii="Times New Roman" w:hAnsi="Times New Roman"/>
        </w:rPr>
        <w:footnoteRef/>
      </w:r>
      <w:r w:rsidRPr="00BF5D53">
        <w:rPr>
          <w:rFonts w:ascii="Times New Roman" w:hAnsi="Times New Roman"/>
        </w:rPr>
        <w:t xml:space="preserve"> </w:t>
      </w:r>
      <w:r w:rsidRPr="00BF5D53">
        <w:rPr>
          <w:rFonts w:ascii="Times New Roman" w:hAnsi="Times New Roman"/>
          <w:lang w:val="ca-ES"/>
        </w:rPr>
        <w:t>Se ha utilizado esta relación para poder normalizar y no se ha utilizado la media aritmética como en el caso anterior porqué si la deuda era cero el índice para la entidad local siempre daba cero independientemente del valor de los dos otros indicadores. Con esta normalización todos los indicadores estan entre 1 y 100.</w:t>
      </w:r>
    </w:p>
  </w:footnote>
  <w:footnote w:id="4">
    <w:p w14:paraId="75710C3A" w14:textId="77777777" w:rsidR="008372FF" w:rsidRPr="00BF5D53" w:rsidRDefault="008372FF" w:rsidP="00BF5D53">
      <w:pPr>
        <w:pStyle w:val="Textonotapie"/>
        <w:jc w:val="both"/>
        <w:rPr>
          <w:rFonts w:ascii="Times New Roman" w:hAnsi="Times New Roman"/>
          <w:lang w:val="ca-ES"/>
        </w:rPr>
      </w:pPr>
      <w:r w:rsidRPr="00BF5D53">
        <w:rPr>
          <w:rStyle w:val="Refdenotaalpie"/>
          <w:rFonts w:ascii="Times New Roman" w:hAnsi="Times New Roman"/>
        </w:rPr>
        <w:footnoteRef/>
      </w:r>
      <w:r w:rsidRPr="00BF5D53">
        <w:rPr>
          <w:rFonts w:ascii="Times New Roman" w:hAnsi="Times New Roman"/>
          <w:lang w:val="ca-ES"/>
        </w:rPr>
        <w:t xml:space="preserve"> La tabla se interpreta de la siguiente forma: si aumenta la variable del eje vertical como afecta a las del eje horizontal: si el valor es negativo es que disminuyen y si el valor es positivo aumentan.</w:t>
      </w:r>
    </w:p>
  </w:footnote>
  <w:footnote w:id="5">
    <w:p w14:paraId="39181CB1" w14:textId="77777777" w:rsidR="00A63478" w:rsidRPr="00BF5D53" w:rsidRDefault="00A63478" w:rsidP="00BF5D53">
      <w:pPr>
        <w:pStyle w:val="Textonotapie"/>
        <w:jc w:val="both"/>
        <w:rPr>
          <w:rFonts w:ascii="Times New Roman" w:hAnsi="Times New Roman"/>
          <w:lang w:val="ca-ES"/>
        </w:rPr>
      </w:pPr>
      <w:r w:rsidRPr="00BF5D53">
        <w:rPr>
          <w:rStyle w:val="Refdenotaalpie"/>
          <w:rFonts w:ascii="Times New Roman" w:hAnsi="Times New Roman"/>
        </w:rPr>
        <w:footnoteRef/>
      </w:r>
      <w:r w:rsidRPr="00BF5D53">
        <w:rPr>
          <w:rFonts w:ascii="Times New Roman" w:hAnsi="Times New Roman"/>
        </w:rPr>
        <w:t xml:space="preserve"> </w:t>
      </w:r>
      <w:r w:rsidRPr="00BF5D53">
        <w:rPr>
          <w:rFonts w:ascii="Times New Roman" w:hAnsi="Times New Roman"/>
          <w:lang w:val="ca-ES"/>
        </w:rPr>
        <w:t>La tabla se interpreta teniendo en cuenta que como mayor es el índice de saneamiento menos saneadas estan las entidades locales.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1A8D" w14:textId="58268163" w:rsidR="00152D97" w:rsidRDefault="001A4A47" w:rsidP="00691D9A">
    <w:pPr>
      <w:pStyle w:val="Encabezado"/>
      <w:jc w:val="right"/>
    </w:pPr>
    <w:r>
      <w:rPr>
        <w:noProof/>
      </w:rPr>
      <w:drawing>
        <wp:inline distT="0" distB="0" distL="0" distR="0" wp14:anchorId="0D53D54E" wp14:editId="642AC8B5">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E3A792F"/>
    <w:multiLevelType w:val="multilevel"/>
    <w:tmpl w:val="9182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1EC535FD"/>
    <w:multiLevelType w:val="multilevel"/>
    <w:tmpl w:val="DF4C206E"/>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D42960"/>
    <w:multiLevelType w:val="hybridMultilevel"/>
    <w:tmpl w:val="F51A93A0"/>
    <w:lvl w:ilvl="0" w:tplc="CFF21D86">
      <w:start w:val="1"/>
      <w:numFmt w:val="bullet"/>
      <w:lvlText w:val="-"/>
      <w:lvlJc w:val="left"/>
      <w:pPr>
        <w:tabs>
          <w:tab w:val="num" w:pos="720"/>
        </w:tabs>
        <w:ind w:left="720" w:hanging="360"/>
      </w:pPr>
      <w:rPr>
        <w:rFonts w:ascii="Arial" w:hAnsi="Arial" w:hint="default"/>
      </w:rPr>
    </w:lvl>
    <w:lvl w:ilvl="1" w:tplc="02443E3C" w:tentative="1">
      <w:start w:val="1"/>
      <w:numFmt w:val="bullet"/>
      <w:lvlText w:val="-"/>
      <w:lvlJc w:val="left"/>
      <w:pPr>
        <w:tabs>
          <w:tab w:val="num" w:pos="1440"/>
        </w:tabs>
        <w:ind w:left="1440" w:hanging="360"/>
      </w:pPr>
      <w:rPr>
        <w:rFonts w:ascii="Arial" w:hAnsi="Arial" w:hint="default"/>
      </w:rPr>
    </w:lvl>
    <w:lvl w:ilvl="2" w:tplc="CF462E14" w:tentative="1">
      <w:start w:val="1"/>
      <w:numFmt w:val="bullet"/>
      <w:lvlText w:val="-"/>
      <w:lvlJc w:val="left"/>
      <w:pPr>
        <w:tabs>
          <w:tab w:val="num" w:pos="2160"/>
        </w:tabs>
        <w:ind w:left="2160" w:hanging="360"/>
      </w:pPr>
      <w:rPr>
        <w:rFonts w:ascii="Arial" w:hAnsi="Arial" w:hint="default"/>
      </w:rPr>
    </w:lvl>
    <w:lvl w:ilvl="3" w:tplc="0FD01334" w:tentative="1">
      <w:start w:val="1"/>
      <w:numFmt w:val="bullet"/>
      <w:lvlText w:val="-"/>
      <w:lvlJc w:val="left"/>
      <w:pPr>
        <w:tabs>
          <w:tab w:val="num" w:pos="2880"/>
        </w:tabs>
        <w:ind w:left="2880" w:hanging="360"/>
      </w:pPr>
      <w:rPr>
        <w:rFonts w:ascii="Arial" w:hAnsi="Arial" w:hint="default"/>
      </w:rPr>
    </w:lvl>
    <w:lvl w:ilvl="4" w:tplc="132CCC04" w:tentative="1">
      <w:start w:val="1"/>
      <w:numFmt w:val="bullet"/>
      <w:lvlText w:val="-"/>
      <w:lvlJc w:val="left"/>
      <w:pPr>
        <w:tabs>
          <w:tab w:val="num" w:pos="3600"/>
        </w:tabs>
        <w:ind w:left="3600" w:hanging="360"/>
      </w:pPr>
      <w:rPr>
        <w:rFonts w:ascii="Arial" w:hAnsi="Arial" w:hint="default"/>
      </w:rPr>
    </w:lvl>
    <w:lvl w:ilvl="5" w:tplc="56A426F4" w:tentative="1">
      <w:start w:val="1"/>
      <w:numFmt w:val="bullet"/>
      <w:lvlText w:val="-"/>
      <w:lvlJc w:val="left"/>
      <w:pPr>
        <w:tabs>
          <w:tab w:val="num" w:pos="4320"/>
        </w:tabs>
        <w:ind w:left="4320" w:hanging="360"/>
      </w:pPr>
      <w:rPr>
        <w:rFonts w:ascii="Arial" w:hAnsi="Arial" w:hint="default"/>
      </w:rPr>
    </w:lvl>
    <w:lvl w:ilvl="6" w:tplc="AD0427B6" w:tentative="1">
      <w:start w:val="1"/>
      <w:numFmt w:val="bullet"/>
      <w:lvlText w:val="-"/>
      <w:lvlJc w:val="left"/>
      <w:pPr>
        <w:tabs>
          <w:tab w:val="num" w:pos="5040"/>
        </w:tabs>
        <w:ind w:left="5040" w:hanging="360"/>
      </w:pPr>
      <w:rPr>
        <w:rFonts w:ascii="Arial" w:hAnsi="Arial" w:hint="default"/>
      </w:rPr>
    </w:lvl>
    <w:lvl w:ilvl="7" w:tplc="CA8014CE" w:tentative="1">
      <w:start w:val="1"/>
      <w:numFmt w:val="bullet"/>
      <w:lvlText w:val="-"/>
      <w:lvlJc w:val="left"/>
      <w:pPr>
        <w:tabs>
          <w:tab w:val="num" w:pos="5760"/>
        </w:tabs>
        <w:ind w:left="5760" w:hanging="360"/>
      </w:pPr>
      <w:rPr>
        <w:rFonts w:ascii="Arial" w:hAnsi="Arial" w:hint="default"/>
      </w:rPr>
    </w:lvl>
    <w:lvl w:ilvl="8" w:tplc="7660C2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6F2CDE"/>
    <w:multiLevelType w:val="multilevel"/>
    <w:tmpl w:val="C60069F2"/>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571" w:hanging="720"/>
      </w:pPr>
      <w:rPr>
        <w:rFonts w:hint="default"/>
        <w:color w:val="FF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E7496"/>
    <w:multiLevelType w:val="multilevel"/>
    <w:tmpl w:val="BAB67C22"/>
    <w:lvl w:ilvl="0">
      <w:start w:val="1"/>
      <w:numFmt w:val="decimal"/>
      <w:lvlText w:val="%1"/>
      <w:lvlJc w:val="left"/>
      <w:pPr>
        <w:ind w:left="360" w:hanging="360"/>
      </w:pPr>
      <w:rPr>
        <w:rFonts w:hint="default"/>
        <w:i/>
      </w:rPr>
    </w:lvl>
    <w:lvl w:ilvl="1">
      <w:start w:val="4"/>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43D741E9"/>
    <w:multiLevelType w:val="multilevel"/>
    <w:tmpl w:val="7B921234"/>
    <w:lvl w:ilvl="0">
      <w:start w:val="1"/>
      <w:numFmt w:val="decimal"/>
      <w:lvlText w:val="%1"/>
      <w:lvlJc w:val="left"/>
      <w:pPr>
        <w:ind w:left="660" w:hanging="660"/>
      </w:pPr>
      <w:rPr>
        <w:rFonts w:hint="default"/>
      </w:rPr>
    </w:lvl>
    <w:lvl w:ilvl="1">
      <w:start w:val="3"/>
      <w:numFmt w:val="decimal"/>
      <w:lvlText w:val="%1.%2"/>
      <w:lvlJc w:val="left"/>
      <w:pPr>
        <w:ind w:left="1042" w:hanging="660"/>
      </w:pPr>
      <w:rPr>
        <w:rFonts w:hint="default"/>
      </w:rPr>
    </w:lvl>
    <w:lvl w:ilvl="2">
      <w:start w:val="3"/>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9" w15:restartNumberingAfterBreak="0">
    <w:nsid w:val="46A56618"/>
    <w:multiLevelType w:val="multilevel"/>
    <w:tmpl w:val="30660DEE"/>
    <w:lvl w:ilvl="0">
      <w:start w:val="1"/>
      <w:numFmt w:val="decimal"/>
      <w:lvlText w:val="%1."/>
      <w:lvlJc w:val="left"/>
      <w:pPr>
        <w:ind w:left="720" w:hanging="360"/>
      </w:pPr>
      <w:rPr>
        <w:rFonts w:ascii="Arial" w:hAnsi="Arial" w:cs="Arial" w:hint="default"/>
        <w:sz w:val="40"/>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94F2516"/>
    <w:multiLevelType w:val="multilevel"/>
    <w:tmpl w:val="30660DEE"/>
    <w:lvl w:ilvl="0">
      <w:start w:val="1"/>
      <w:numFmt w:val="decimal"/>
      <w:lvlText w:val="%1."/>
      <w:lvlJc w:val="left"/>
      <w:pPr>
        <w:ind w:left="720" w:hanging="360"/>
      </w:pPr>
      <w:rPr>
        <w:rFonts w:ascii="Arial" w:hAnsi="Arial" w:cs="Arial" w:hint="default"/>
        <w:sz w:val="40"/>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12" w15:restartNumberingAfterBreak="0">
    <w:nsid w:val="58050D43"/>
    <w:multiLevelType w:val="multilevel"/>
    <w:tmpl w:val="3586B4B6"/>
    <w:lvl w:ilvl="0">
      <w:start w:val="1"/>
      <w:numFmt w:val="decimal"/>
      <w:lvlText w:val="%1."/>
      <w:lvlJc w:val="left"/>
      <w:pPr>
        <w:ind w:left="540" w:hanging="540"/>
      </w:pPr>
      <w:rPr>
        <w:rFonts w:hint="default"/>
      </w:rPr>
    </w:lvl>
    <w:lvl w:ilvl="1">
      <w:start w:val="4"/>
      <w:numFmt w:val="decimal"/>
      <w:lvlText w:val="%1.%2."/>
      <w:lvlJc w:val="left"/>
      <w:pPr>
        <w:ind w:left="1113" w:hanging="540"/>
      </w:pPr>
      <w:rPr>
        <w:rFonts w:hint="default"/>
      </w:rPr>
    </w:lvl>
    <w:lvl w:ilvl="2">
      <w:start w:val="2"/>
      <w:numFmt w:val="decimal"/>
      <w:lvlText w:val="%1.%2.%3."/>
      <w:lvlJc w:val="left"/>
      <w:pPr>
        <w:ind w:left="2279" w:hanging="720"/>
      </w:pPr>
      <w:rPr>
        <w:rFonts w:hint="default"/>
        <w:color w:val="auto"/>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3" w15:restartNumberingAfterBreak="0">
    <w:nsid w:val="59943B48"/>
    <w:multiLevelType w:val="hybridMultilevel"/>
    <w:tmpl w:val="29D08F46"/>
    <w:lvl w:ilvl="0" w:tplc="278CA7A6">
      <w:start w:val="10"/>
      <w:numFmt w:val="bullet"/>
      <w:lvlText w:val="-"/>
      <w:lvlJc w:val="left"/>
      <w:pPr>
        <w:ind w:left="720" w:hanging="360"/>
      </w:pPr>
      <w:rPr>
        <w:rFonts w:ascii="Arial" w:eastAsiaTheme="minorEastAsia"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68012DCA"/>
    <w:multiLevelType w:val="multilevel"/>
    <w:tmpl w:val="B7A6EF28"/>
    <w:lvl w:ilvl="0">
      <w:start w:val="1"/>
      <w:numFmt w:val="decimal"/>
      <w:lvlText w:val="%1"/>
      <w:lvlJc w:val="left"/>
      <w:pPr>
        <w:ind w:left="660" w:hanging="660"/>
      </w:pPr>
      <w:rPr>
        <w:rFonts w:hint="default"/>
      </w:rPr>
    </w:lvl>
    <w:lvl w:ilvl="1">
      <w:start w:val="3"/>
      <w:numFmt w:val="decimal"/>
      <w:lvlText w:val="%1.%2"/>
      <w:lvlJc w:val="left"/>
      <w:pPr>
        <w:ind w:left="1040" w:hanging="660"/>
      </w:pPr>
      <w:rPr>
        <w:rFonts w:hint="default"/>
      </w:rPr>
    </w:lvl>
    <w:lvl w:ilvl="2">
      <w:start w:val="3"/>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6" w15:restartNumberingAfterBreak="0">
    <w:nsid w:val="6D105151"/>
    <w:multiLevelType w:val="multilevel"/>
    <w:tmpl w:val="30660DEE"/>
    <w:lvl w:ilvl="0">
      <w:start w:val="1"/>
      <w:numFmt w:val="decimal"/>
      <w:lvlText w:val="%1."/>
      <w:lvlJc w:val="left"/>
      <w:pPr>
        <w:ind w:left="720" w:hanging="360"/>
      </w:pPr>
      <w:rPr>
        <w:rFonts w:ascii="Arial" w:hAnsi="Arial" w:cs="Arial" w:hint="default"/>
        <w:sz w:val="40"/>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2"/>
  </w:num>
  <w:num w:numId="4">
    <w:abstractNumId w:val="14"/>
  </w:num>
  <w:num w:numId="5">
    <w:abstractNumId w:val="11"/>
  </w:num>
  <w:num w:numId="6">
    <w:abstractNumId w:val="9"/>
  </w:num>
  <w:num w:numId="7">
    <w:abstractNumId w:val="13"/>
  </w:num>
  <w:num w:numId="8">
    <w:abstractNumId w:val="5"/>
  </w:num>
  <w:num w:numId="9">
    <w:abstractNumId w:val="10"/>
  </w:num>
  <w:num w:numId="10">
    <w:abstractNumId w:val="16"/>
  </w:num>
  <w:num w:numId="11">
    <w:abstractNumId w:val="3"/>
  </w:num>
  <w:num w:numId="12">
    <w:abstractNumId w:val="8"/>
  </w:num>
  <w:num w:numId="13">
    <w:abstractNumId w:val="15"/>
  </w:num>
  <w:num w:numId="14">
    <w:abstractNumId w:val="6"/>
  </w:num>
  <w:num w:numId="15">
    <w:abstractNumId w:val="7"/>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16AB9"/>
    <w:rsid w:val="00022C64"/>
    <w:rsid w:val="000263F0"/>
    <w:rsid w:val="00042C31"/>
    <w:rsid w:val="000A6FBC"/>
    <w:rsid w:val="000C1D4D"/>
    <w:rsid w:val="000C507E"/>
    <w:rsid w:val="000F40B3"/>
    <w:rsid w:val="00103259"/>
    <w:rsid w:val="00121204"/>
    <w:rsid w:val="00124DA9"/>
    <w:rsid w:val="00152D97"/>
    <w:rsid w:val="00156522"/>
    <w:rsid w:val="00174B22"/>
    <w:rsid w:val="0018747B"/>
    <w:rsid w:val="001A1047"/>
    <w:rsid w:val="001A4A47"/>
    <w:rsid w:val="001B796B"/>
    <w:rsid w:val="00261C7E"/>
    <w:rsid w:val="002773E8"/>
    <w:rsid w:val="0028110D"/>
    <w:rsid w:val="00281ED9"/>
    <w:rsid w:val="00283904"/>
    <w:rsid w:val="00291423"/>
    <w:rsid w:val="002A429A"/>
    <w:rsid w:val="002A457A"/>
    <w:rsid w:val="002B4C82"/>
    <w:rsid w:val="002B7CA3"/>
    <w:rsid w:val="002D483B"/>
    <w:rsid w:val="00307A1A"/>
    <w:rsid w:val="00310ACE"/>
    <w:rsid w:val="003611F5"/>
    <w:rsid w:val="00363484"/>
    <w:rsid w:val="00370D25"/>
    <w:rsid w:val="003848CC"/>
    <w:rsid w:val="003A1870"/>
    <w:rsid w:val="003A7ACE"/>
    <w:rsid w:val="003B70B6"/>
    <w:rsid w:val="003D6EC3"/>
    <w:rsid w:val="003E04F1"/>
    <w:rsid w:val="004101C6"/>
    <w:rsid w:val="00423E1C"/>
    <w:rsid w:val="00431C17"/>
    <w:rsid w:val="00467248"/>
    <w:rsid w:val="00491C0D"/>
    <w:rsid w:val="004931BD"/>
    <w:rsid w:val="004963EF"/>
    <w:rsid w:val="005244AA"/>
    <w:rsid w:val="0054635D"/>
    <w:rsid w:val="005968F8"/>
    <w:rsid w:val="00597928"/>
    <w:rsid w:val="005C7E9C"/>
    <w:rsid w:val="005D6C7D"/>
    <w:rsid w:val="005F5030"/>
    <w:rsid w:val="0060351B"/>
    <w:rsid w:val="0061335D"/>
    <w:rsid w:val="0064416C"/>
    <w:rsid w:val="00691D9A"/>
    <w:rsid w:val="006D4B7C"/>
    <w:rsid w:val="006E0BAF"/>
    <w:rsid w:val="006E26C7"/>
    <w:rsid w:val="006E6A0E"/>
    <w:rsid w:val="00705544"/>
    <w:rsid w:val="00711F4B"/>
    <w:rsid w:val="0071605E"/>
    <w:rsid w:val="0075027A"/>
    <w:rsid w:val="007703E8"/>
    <w:rsid w:val="00786927"/>
    <w:rsid w:val="007E44C0"/>
    <w:rsid w:val="0081766C"/>
    <w:rsid w:val="008372FF"/>
    <w:rsid w:val="00877B64"/>
    <w:rsid w:val="00895C22"/>
    <w:rsid w:val="008A7106"/>
    <w:rsid w:val="008B01A3"/>
    <w:rsid w:val="00923610"/>
    <w:rsid w:val="00924A49"/>
    <w:rsid w:val="00946CCC"/>
    <w:rsid w:val="00947763"/>
    <w:rsid w:val="00954D5C"/>
    <w:rsid w:val="00960CE1"/>
    <w:rsid w:val="00976C4B"/>
    <w:rsid w:val="0099067D"/>
    <w:rsid w:val="009C0B9E"/>
    <w:rsid w:val="009C2FDF"/>
    <w:rsid w:val="009D3259"/>
    <w:rsid w:val="00A061C3"/>
    <w:rsid w:val="00A25FFA"/>
    <w:rsid w:val="00A400A7"/>
    <w:rsid w:val="00A63478"/>
    <w:rsid w:val="00A713D0"/>
    <w:rsid w:val="00A7410F"/>
    <w:rsid w:val="00A83EDD"/>
    <w:rsid w:val="00A86C41"/>
    <w:rsid w:val="00A9703E"/>
    <w:rsid w:val="00AD5BCA"/>
    <w:rsid w:val="00AE1334"/>
    <w:rsid w:val="00B57162"/>
    <w:rsid w:val="00B87211"/>
    <w:rsid w:val="00B93358"/>
    <w:rsid w:val="00BA63BD"/>
    <w:rsid w:val="00BB28B3"/>
    <w:rsid w:val="00BB5412"/>
    <w:rsid w:val="00BC7D48"/>
    <w:rsid w:val="00BE1BA6"/>
    <w:rsid w:val="00BF5D53"/>
    <w:rsid w:val="00C0664E"/>
    <w:rsid w:val="00C07AAE"/>
    <w:rsid w:val="00C224C3"/>
    <w:rsid w:val="00C242E1"/>
    <w:rsid w:val="00C360E9"/>
    <w:rsid w:val="00C37EC0"/>
    <w:rsid w:val="00C4704F"/>
    <w:rsid w:val="00C53A61"/>
    <w:rsid w:val="00CA5396"/>
    <w:rsid w:val="00CB0D64"/>
    <w:rsid w:val="00CC01DA"/>
    <w:rsid w:val="00CC2C8A"/>
    <w:rsid w:val="00CD1C75"/>
    <w:rsid w:val="00CD7938"/>
    <w:rsid w:val="00CE3A56"/>
    <w:rsid w:val="00CF08D7"/>
    <w:rsid w:val="00D055DA"/>
    <w:rsid w:val="00D326AE"/>
    <w:rsid w:val="00D8607F"/>
    <w:rsid w:val="00DC667B"/>
    <w:rsid w:val="00E03395"/>
    <w:rsid w:val="00E0476E"/>
    <w:rsid w:val="00E11D44"/>
    <w:rsid w:val="00E50E04"/>
    <w:rsid w:val="00E57A4B"/>
    <w:rsid w:val="00E70064"/>
    <w:rsid w:val="00E84C03"/>
    <w:rsid w:val="00E9275E"/>
    <w:rsid w:val="00EA5B16"/>
    <w:rsid w:val="00EB169A"/>
    <w:rsid w:val="00EB4B62"/>
    <w:rsid w:val="00ED7394"/>
    <w:rsid w:val="00EE2AD6"/>
    <w:rsid w:val="00F1098E"/>
    <w:rsid w:val="00F26E27"/>
    <w:rsid w:val="00F303E1"/>
    <w:rsid w:val="00F55A6A"/>
    <w:rsid w:val="00F6365B"/>
    <w:rsid w:val="00F8482A"/>
    <w:rsid w:val="00F960DD"/>
    <w:rsid w:val="00FA3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paragraph" w:customStyle="1" w:styleId="msonormal0">
    <w:name w:val="&quot;msonormal&quot;"/>
    <w:basedOn w:val="Normal"/>
    <w:rsid w:val="0061335D"/>
    <w:pPr>
      <w:spacing w:before="100" w:beforeAutospacing="1" w:after="100" w:afterAutospacing="1" w:line="240" w:lineRule="auto"/>
    </w:pPr>
    <w:rPr>
      <w:rFonts w:ascii="Times New Roman" w:hAnsi="Times New Roman"/>
      <w:sz w:val="24"/>
      <w:szCs w:val="24"/>
      <w:lang w:eastAsia="es-ES"/>
    </w:rPr>
  </w:style>
  <w:style w:type="character" w:customStyle="1" w:styleId="titulo">
    <w:name w:val="titulo"/>
    <w:basedOn w:val="Fuentedeprrafopredeter"/>
    <w:rsid w:val="0061335D"/>
  </w:style>
  <w:style w:type="character" w:customStyle="1" w:styleId="subtitulo">
    <w:name w:val="subtitulo"/>
    <w:basedOn w:val="Fuentedeprrafopredeter"/>
    <w:rsid w:val="0061335D"/>
  </w:style>
  <w:style w:type="character" w:styleId="Textoennegrita">
    <w:name w:val="Strong"/>
    <w:basedOn w:val="Fuentedeprrafopredeter"/>
    <w:uiPriority w:val="22"/>
    <w:qFormat/>
    <w:rsid w:val="0061335D"/>
    <w:rPr>
      <w:b/>
      <w:bCs/>
    </w:rPr>
  </w:style>
  <w:style w:type="character" w:styleId="AcrnimoHTML">
    <w:name w:val="HTML Acronym"/>
    <w:basedOn w:val="Fuentedeprrafopredeter"/>
    <w:uiPriority w:val="99"/>
    <w:unhideWhenUsed/>
    <w:rsid w:val="00613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312555">
      <w:bodyDiv w:val="1"/>
      <w:marLeft w:val="0"/>
      <w:marRight w:val="0"/>
      <w:marTop w:val="0"/>
      <w:marBottom w:val="0"/>
      <w:divBdr>
        <w:top w:val="none" w:sz="0" w:space="0" w:color="auto"/>
        <w:left w:val="none" w:sz="0" w:space="0" w:color="auto"/>
        <w:bottom w:val="none" w:sz="0" w:space="0" w:color="auto"/>
        <w:right w:val="none" w:sz="0" w:space="0" w:color="auto"/>
      </w:divBdr>
    </w:div>
    <w:div w:id="1034505675">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9398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80CF2-F345-4060-AA27-4C6A3B86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2551</Words>
  <Characters>14168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Nuria Gras Nogues</cp:lastModifiedBy>
  <cp:revision>8</cp:revision>
  <cp:lastPrinted>2023-01-12T10:51:00Z</cp:lastPrinted>
  <dcterms:created xsi:type="dcterms:W3CDTF">2023-01-12T10:50:00Z</dcterms:created>
  <dcterms:modified xsi:type="dcterms:W3CDTF">2023-01-13T13:16:00Z</dcterms:modified>
</cp:coreProperties>
</file>