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7025" w14:textId="77777777" w:rsidR="00F45AD2" w:rsidRPr="00F3164E" w:rsidRDefault="00F45AD2" w:rsidP="00F45AD2">
      <w:pPr>
        <w:pStyle w:val="Ttulo"/>
        <w:rPr>
          <w:color w:val="76923C" w:themeColor="accent3" w:themeShade="BF"/>
        </w:rPr>
      </w:pPr>
      <w:r w:rsidRPr="00F3164E">
        <w:t xml:space="preserve">HOJA DE ESTILO PARA </w:t>
      </w:r>
      <w:r w:rsidRPr="00F3164E">
        <w:rPr>
          <w:color w:val="76923C" w:themeColor="accent3" w:themeShade="BF"/>
        </w:rPr>
        <w:t>COMUNICACIONES</w:t>
      </w:r>
      <w:r w:rsidRPr="00F3164E">
        <w:t xml:space="preserve"> Y </w:t>
      </w:r>
      <w:r w:rsidRPr="00F3164E">
        <w:rPr>
          <w:color w:val="76923C" w:themeColor="accent3" w:themeShade="BF"/>
        </w:rPr>
        <w:t>PÓSTERS</w:t>
      </w:r>
    </w:p>
    <w:p w14:paraId="17A8F98F" w14:textId="77777777" w:rsidR="00F45AD2" w:rsidRPr="00F3164E" w:rsidRDefault="00F45AD2" w:rsidP="00F45AD2">
      <w:pPr>
        <w:pStyle w:val="Ttulo"/>
        <w:rPr>
          <w:color w:val="76923C" w:themeColor="accent3" w:themeShade="BF"/>
        </w:rPr>
      </w:pPr>
      <w:r w:rsidRPr="00F3164E">
        <w:rPr>
          <w:color w:val="76923C" w:themeColor="accent3" w:themeShade="BF"/>
        </w:rPr>
        <w:t>INVESTIGACIÓN</w:t>
      </w:r>
    </w:p>
    <w:p w14:paraId="487AACAE" w14:textId="77777777" w:rsidR="00F45AD2" w:rsidRPr="00F3164E" w:rsidRDefault="00F45AD2" w:rsidP="00F45AD2">
      <w:pPr>
        <w:pStyle w:val="Ttulo"/>
        <w:rPr>
          <w:sz w:val="2"/>
        </w:rPr>
      </w:pPr>
    </w:p>
    <w:p w14:paraId="253F75DD" w14:textId="77777777" w:rsidR="00F45AD2" w:rsidRPr="00F3164E" w:rsidRDefault="00F45AD2" w:rsidP="00F45AD2">
      <w:pPr>
        <w:pStyle w:val="Ttulo"/>
        <w:jc w:val="both"/>
        <w:rPr>
          <w:b w:val="0"/>
          <w:bCs w:val="0"/>
          <w:i/>
          <w:iCs/>
          <w:sz w:val="16"/>
          <w:szCs w:val="16"/>
        </w:rPr>
      </w:pPr>
      <w:r w:rsidRPr="00F3164E">
        <w:t xml:space="preserve">Tipo de aportación: </w:t>
      </w:r>
      <w:r w:rsidRPr="00F3164E">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F45AD2" w:rsidRPr="00F3164E" w14:paraId="002D0388" w14:textId="77777777" w:rsidTr="002A201F">
        <w:trPr>
          <w:trHeight w:val="451"/>
        </w:trPr>
        <w:tc>
          <w:tcPr>
            <w:tcW w:w="709" w:type="dxa"/>
          </w:tcPr>
          <w:p w14:paraId="0E997348" w14:textId="77777777" w:rsidR="00F45AD2" w:rsidRPr="00F3164E" w:rsidRDefault="00F45AD2" w:rsidP="002A201F">
            <w:pPr>
              <w:pStyle w:val="Ttulo"/>
              <w:rPr>
                <w:sz w:val="16"/>
                <w:szCs w:val="16"/>
              </w:rPr>
            </w:pPr>
            <w:r w:rsidRPr="00F3164E">
              <w:rPr>
                <w:sz w:val="16"/>
                <w:szCs w:val="16"/>
              </w:rPr>
              <w:t>X</w:t>
            </w:r>
          </w:p>
        </w:tc>
        <w:tc>
          <w:tcPr>
            <w:tcW w:w="6804" w:type="dxa"/>
            <w:vAlign w:val="center"/>
          </w:tcPr>
          <w:p w14:paraId="2FE85C63" w14:textId="77777777" w:rsidR="00F45AD2" w:rsidRPr="00F3164E" w:rsidRDefault="00F45AD2" w:rsidP="002A201F">
            <w:pPr>
              <w:pStyle w:val="Ttulo"/>
              <w:jc w:val="left"/>
              <w:rPr>
                <w:sz w:val="16"/>
                <w:szCs w:val="16"/>
              </w:rPr>
            </w:pPr>
            <w:r w:rsidRPr="00F3164E">
              <w:rPr>
                <w:sz w:val="16"/>
                <w:szCs w:val="16"/>
              </w:rPr>
              <w:t>Comunicación - Investigación</w:t>
            </w:r>
          </w:p>
        </w:tc>
      </w:tr>
      <w:tr w:rsidR="00F45AD2" w:rsidRPr="00F3164E" w14:paraId="7AFC434F" w14:textId="77777777" w:rsidTr="002A201F">
        <w:trPr>
          <w:trHeight w:val="451"/>
        </w:trPr>
        <w:tc>
          <w:tcPr>
            <w:tcW w:w="709" w:type="dxa"/>
          </w:tcPr>
          <w:p w14:paraId="59ED2968" w14:textId="77777777" w:rsidR="00F45AD2" w:rsidRPr="00F3164E" w:rsidRDefault="00F45AD2" w:rsidP="002A201F">
            <w:pPr>
              <w:pStyle w:val="Ttulo"/>
              <w:rPr>
                <w:sz w:val="16"/>
                <w:szCs w:val="16"/>
              </w:rPr>
            </w:pPr>
          </w:p>
        </w:tc>
        <w:tc>
          <w:tcPr>
            <w:tcW w:w="6804" w:type="dxa"/>
            <w:vAlign w:val="center"/>
          </w:tcPr>
          <w:p w14:paraId="7A5A730A" w14:textId="77777777" w:rsidR="00F45AD2" w:rsidRPr="00F3164E" w:rsidRDefault="00F45AD2" w:rsidP="002A201F">
            <w:pPr>
              <w:pStyle w:val="Ttulo"/>
              <w:jc w:val="left"/>
              <w:rPr>
                <w:sz w:val="16"/>
                <w:szCs w:val="16"/>
              </w:rPr>
            </w:pPr>
            <w:r w:rsidRPr="00F3164E">
              <w:rPr>
                <w:sz w:val="16"/>
                <w:szCs w:val="16"/>
              </w:rPr>
              <w:t>Póster - Investigación</w:t>
            </w:r>
          </w:p>
        </w:tc>
      </w:tr>
    </w:tbl>
    <w:p w14:paraId="3AAF377E" w14:textId="77777777" w:rsidR="00F45AD2" w:rsidRPr="00F3164E" w:rsidRDefault="00F45AD2" w:rsidP="00F45AD2">
      <w:pPr>
        <w:pStyle w:val="Ttulo"/>
        <w:jc w:val="both"/>
        <w:rPr>
          <w:b w:val="0"/>
          <w:bCs w:val="0"/>
          <w:i/>
          <w:iCs/>
          <w:sz w:val="16"/>
          <w:szCs w:val="16"/>
        </w:rPr>
      </w:pPr>
      <w:r w:rsidRPr="00F3164E">
        <w:t xml:space="preserve">Temática de la aportación: </w:t>
      </w:r>
      <w:r w:rsidRPr="00F3164E">
        <w:rPr>
          <w:b w:val="0"/>
          <w:bCs w:val="0"/>
          <w:i/>
          <w:iCs/>
          <w:sz w:val="16"/>
          <w:szCs w:val="16"/>
        </w:rPr>
        <w:t>Marque con una X la temática de la aportación que realiza.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F45AD2" w:rsidRPr="00F3164E" w14:paraId="15491D1C" w14:textId="77777777" w:rsidTr="002A201F">
        <w:trPr>
          <w:trHeight w:val="451"/>
        </w:trPr>
        <w:tc>
          <w:tcPr>
            <w:tcW w:w="709" w:type="dxa"/>
          </w:tcPr>
          <w:p w14:paraId="6EF0B81C" w14:textId="77777777" w:rsidR="00F45AD2" w:rsidRPr="00F3164E" w:rsidRDefault="00F45AD2" w:rsidP="002A201F">
            <w:pPr>
              <w:pStyle w:val="Ttulo"/>
              <w:rPr>
                <w:sz w:val="16"/>
                <w:szCs w:val="16"/>
              </w:rPr>
            </w:pPr>
          </w:p>
        </w:tc>
        <w:tc>
          <w:tcPr>
            <w:tcW w:w="6804" w:type="dxa"/>
            <w:vAlign w:val="center"/>
          </w:tcPr>
          <w:p w14:paraId="23D3F41F" w14:textId="77777777" w:rsidR="00F45AD2" w:rsidRPr="00F3164E" w:rsidRDefault="00F45AD2" w:rsidP="002A201F">
            <w:pPr>
              <w:pStyle w:val="Ttulo"/>
              <w:jc w:val="left"/>
              <w:rPr>
                <w:sz w:val="16"/>
                <w:szCs w:val="16"/>
              </w:rPr>
            </w:pPr>
            <w:r w:rsidRPr="00F3164E">
              <w:rPr>
                <w:sz w:val="16"/>
                <w:szCs w:val="16"/>
              </w:rPr>
              <w:t>Metodologías y estrategias para la nueva gestión del conocimiento colectivo</w:t>
            </w:r>
          </w:p>
        </w:tc>
      </w:tr>
      <w:tr w:rsidR="00F45AD2" w:rsidRPr="00F3164E" w14:paraId="029C2AE4" w14:textId="77777777" w:rsidTr="002A201F">
        <w:trPr>
          <w:trHeight w:val="451"/>
        </w:trPr>
        <w:tc>
          <w:tcPr>
            <w:tcW w:w="709" w:type="dxa"/>
          </w:tcPr>
          <w:p w14:paraId="30EE7877" w14:textId="77777777" w:rsidR="00F45AD2" w:rsidRPr="00F3164E" w:rsidRDefault="00F45AD2" w:rsidP="002A201F">
            <w:pPr>
              <w:pStyle w:val="Ttulo"/>
              <w:rPr>
                <w:sz w:val="16"/>
                <w:szCs w:val="16"/>
              </w:rPr>
            </w:pPr>
          </w:p>
        </w:tc>
        <w:tc>
          <w:tcPr>
            <w:tcW w:w="6804" w:type="dxa"/>
            <w:vAlign w:val="center"/>
          </w:tcPr>
          <w:p w14:paraId="47903709" w14:textId="77777777" w:rsidR="00F45AD2" w:rsidRPr="00F3164E" w:rsidRDefault="00F45AD2" w:rsidP="002A201F">
            <w:pPr>
              <w:pStyle w:val="Ttulo"/>
              <w:jc w:val="left"/>
              <w:rPr>
                <w:sz w:val="16"/>
                <w:szCs w:val="16"/>
              </w:rPr>
            </w:pPr>
            <w:r w:rsidRPr="00F3164E">
              <w:rPr>
                <w:sz w:val="16"/>
                <w:szCs w:val="16"/>
              </w:rPr>
              <w:t>La promoción y registro de la interacción y conversación colectiva.</w:t>
            </w:r>
          </w:p>
        </w:tc>
      </w:tr>
      <w:tr w:rsidR="00F45AD2" w:rsidRPr="00F3164E" w14:paraId="2A82A06F" w14:textId="77777777" w:rsidTr="002A201F">
        <w:trPr>
          <w:trHeight w:val="451"/>
        </w:trPr>
        <w:tc>
          <w:tcPr>
            <w:tcW w:w="709" w:type="dxa"/>
          </w:tcPr>
          <w:p w14:paraId="3C261F68" w14:textId="77777777" w:rsidR="00F45AD2" w:rsidRPr="00F3164E" w:rsidRDefault="00F45AD2" w:rsidP="002A201F">
            <w:pPr>
              <w:pStyle w:val="Ttulo"/>
              <w:rPr>
                <w:sz w:val="16"/>
                <w:szCs w:val="16"/>
              </w:rPr>
            </w:pPr>
          </w:p>
        </w:tc>
        <w:tc>
          <w:tcPr>
            <w:tcW w:w="6804" w:type="dxa"/>
            <w:vAlign w:val="center"/>
          </w:tcPr>
          <w:p w14:paraId="1D8FA391" w14:textId="77777777" w:rsidR="00F45AD2" w:rsidRPr="00F3164E" w:rsidRDefault="00F45AD2" w:rsidP="002A201F">
            <w:pPr>
              <w:pStyle w:val="Ttulo"/>
              <w:jc w:val="left"/>
              <w:rPr>
                <w:sz w:val="16"/>
                <w:szCs w:val="16"/>
              </w:rPr>
            </w:pPr>
            <w:r w:rsidRPr="00F3164E">
              <w:rPr>
                <w:sz w:val="16"/>
                <w:szCs w:val="16"/>
              </w:rPr>
              <w:t>Gestión del Talento y del capital humano en las organizaciones</w:t>
            </w:r>
          </w:p>
        </w:tc>
      </w:tr>
      <w:tr w:rsidR="00F45AD2" w:rsidRPr="00F3164E" w14:paraId="5F1E30BC" w14:textId="77777777" w:rsidTr="002A201F">
        <w:trPr>
          <w:trHeight w:val="451"/>
        </w:trPr>
        <w:tc>
          <w:tcPr>
            <w:tcW w:w="709" w:type="dxa"/>
          </w:tcPr>
          <w:p w14:paraId="705182FC" w14:textId="77777777" w:rsidR="00F45AD2" w:rsidRPr="00F3164E" w:rsidRDefault="00F45AD2" w:rsidP="002A201F">
            <w:pPr>
              <w:pStyle w:val="Ttulo"/>
              <w:rPr>
                <w:sz w:val="16"/>
                <w:szCs w:val="16"/>
              </w:rPr>
            </w:pPr>
          </w:p>
        </w:tc>
        <w:tc>
          <w:tcPr>
            <w:tcW w:w="6804" w:type="dxa"/>
            <w:vAlign w:val="center"/>
          </w:tcPr>
          <w:p w14:paraId="021AF463" w14:textId="77777777" w:rsidR="00F45AD2" w:rsidRPr="00F3164E" w:rsidRDefault="00F45AD2" w:rsidP="002A201F">
            <w:pPr>
              <w:pStyle w:val="Ttulo"/>
              <w:jc w:val="left"/>
              <w:rPr>
                <w:sz w:val="16"/>
                <w:szCs w:val="16"/>
              </w:rPr>
            </w:pPr>
            <w:r w:rsidRPr="00F3164E">
              <w:rPr>
                <w:sz w:val="16"/>
                <w:szCs w:val="16"/>
              </w:rPr>
              <w:t>Redes corporativas para la nueva gestión del conocimiento.</w:t>
            </w:r>
          </w:p>
        </w:tc>
      </w:tr>
      <w:tr w:rsidR="00F45AD2" w:rsidRPr="00F3164E" w14:paraId="19F7A807" w14:textId="77777777" w:rsidTr="002A201F">
        <w:trPr>
          <w:trHeight w:val="451"/>
        </w:trPr>
        <w:tc>
          <w:tcPr>
            <w:tcW w:w="709" w:type="dxa"/>
          </w:tcPr>
          <w:p w14:paraId="24409409" w14:textId="77777777" w:rsidR="00F45AD2" w:rsidRPr="00F3164E" w:rsidRDefault="00F45AD2" w:rsidP="002A201F">
            <w:pPr>
              <w:pStyle w:val="Ttulo"/>
              <w:rPr>
                <w:sz w:val="16"/>
                <w:szCs w:val="16"/>
              </w:rPr>
            </w:pPr>
          </w:p>
        </w:tc>
        <w:tc>
          <w:tcPr>
            <w:tcW w:w="6804" w:type="dxa"/>
            <w:vAlign w:val="center"/>
          </w:tcPr>
          <w:p w14:paraId="5C7BF1CA" w14:textId="77777777" w:rsidR="00F45AD2" w:rsidRPr="00F3164E" w:rsidRDefault="00F45AD2" w:rsidP="002A201F">
            <w:pPr>
              <w:pStyle w:val="Ttulo"/>
              <w:jc w:val="left"/>
              <w:rPr>
                <w:sz w:val="16"/>
                <w:szCs w:val="16"/>
              </w:rPr>
            </w:pPr>
            <w:r w:rsidRPr="00F3164E">
              <w:rPr>
                <w:sz w:val="16"/>
                <w:szCs w:val="16"/>
              </w:rPr>
              <w:t>Aprendizaje social y colaborativo en la gestión del conocimiento.</w:t>
            </w:r>
          </w:p>
        </w:tc>
      </w:tr>
      <w:tr w:rsidR="00F45AD2" w:rsidRPr="00F3164E" w14:paraId="3CD9955C" w14:textId="77777777" w:rsidTr="002A201F">
        <w:trPr>
          <w:trHeight w:val="451"/>
        </w:trPr>
        <w:tc>
          <w:tcPr>
            <w:tcW w:w="709" w:type="dxa"/>
          </w:tcPr>
          <w:p w14:paraId="4CF5DF9F" w14:textId="77777777" w:rsidR="00F45AD2" w:rsidRPr="00F3164E" w:rsidRDefault="00F45AD2" w:rsidP="002A201F">
            <w:pPr>
              <w:pStyle w:val="Ttulo"/>
              <w:rPr>
                <w:sz w:val="16"/>
                <w:szCs w:val="16"/>
              </w:rPr>
            </w:pPr>
          </w:p>
        </w:tc>
        <w:tc>
          <w:tcPr>
            <w:tcW w:w="6804" w:type="dxa"/>
            <w:vAlign w:val="center"/>
          </w:tcPr>
          <w:p w14:paraId="0F90B0C1" w14:textId="77777777" w:rsidR="00F45AD2" w:rsidRPr="00F3164E" w:rsidRDefault="00F45AD2" w:rsidP="002A201F">
            <w:pPr>
              <w:pStyle w:val="Ttulo"/>
              <w:jc w:val="left"/>
              <w:rPr>
                <w:sz w:val="16"/>
                <w:szCs w:val="16"/>
              </w:rPr>
            </w:pPr>
            <w:r w:rsidRPr="00F3164E">
              <w:rPr>
                <w:sz w:val="16"/>
                <w:szCs w:val="16"/>
              </w:rPr>
              <w:t>Gestión del aprendizaje informal en las organizaciones.</w:t>
            </w:r>
          </w:p>
        </w:tc>
      </w:tr>
      <w:tr w:rsidR="00F45AD2" w:rsidRPr="00F3164E" w14:paraId="6A04212A" w14:textId="77777777" w:rsidTr="002A201F">
        <w:trPr>
          <w:trHeight w:val="451"/>
        </w:trPr>
        <w:tc>
          <w:tcPr>
            <w:tcW w:w="709" w:type="dxa"/>
          </w:tcPr>
          <w:p w14:paraId="0243BB93" w14:textId="77777777" w:rsidR="00F45AD2" w:rsidRPr="00F3164E" w:rsidRDefault="00F45AD2" w:rsidP="002A201F">
            <w:pPr>
              <w:pStyle w:val="Ttulo"/>
              <w:rPr>
                <w:sz w:val="16"/>
                <w:szCs w:val="16"/>
              </w:rPr>
            </w:pPr>
          </w:p>
        </w:tc>
        <w:tc>
          <w:tcPr>
            <w:tcW w:w="6804" w:type="dxa"/>
            <w:vAlign w:val="center"/>
          </w:tcPr>
          <w:p w14:paraId="7B7F9F03" w14:textId="77777777" w:rsidR="00F45AD2" w:rsidRPr="00F3164E" w:rsidRDefault="00F45AD2" w:rsidP="002A201F">
            <w:pPr>
              <w:pStyle w:val="Ttulo"/>
              <w:jc w:val="left"/>
              <w:rPr>
                <w:sz w:val="16"/>
                <w:szCs w:val="16"/>
              </w:rPr>
            </w:pPr>
            <w:r w:rsidRPr="00F3164E">
              <w:rPr>
                <w:sz w:val="16"/>
                <w:szCs w:val="16"/>
              </w:rPr>
              <w:t>Modelos y experiencias que combinen el desarrollo personal, social e institucional en las organizaciones.</w:t>
            </w:r>
          </w:p>
        </w:tc>
      </w:tr>
    </w:tbl>
    <w:p w14:paraId="3B792864" w14:textId="77777777" w:rsidR="00F45AD2" w:rsidRPr="00F3164E" w:rsidRDefault="00F45AD2" w:rsidP="00F45AD2">
      <w:pPr>
        <w:pBdr>
          <w:bottom w:val="single" w:sz="6" w:space="1" w:color="auto"/>
        </w:pBdr>
        <w:spacing w:line="240" w:lineRule="auto"/>
        <w:rPr>
          <w:rFonts w:ascii="Times New Roman" w:hAnsi="Times New Roman"/>
          <w:b/>
        </w:rPr>
      </w:pPr>
    </w:p>
    <w:p w14:paraId="320F5FE4" w14:textId="77777777" w:rsidR="00F45AD2" w:rsidRPr="00F3164E" w:rsidRDefault="00F45AD2" w:rsidP="00F45AD2">
      <w:pPr>
        <w:pBdr>
          <w:bottom w:val="single" w:sz="6" w:space="1" w:color="auto"/>
        </w:pBdr>
        <w:spacing w:line="240" w:lineRule="auto"/>
        <w:rPr>
          <w:rFonts w:ascii="Times New Roman" w:hAnsi="Times New Roman"/>
          <w:color w:val="FF0000"/>
        </w:rPr>
      </w:pPr>
      <w:bookmarkStart w:id="0" w:name="_Hlk14767735"/>
      <w:r w:rsidRPr="00F3164E">
        <w:rPr>
          <w:rFonts w:ascii="Times New Roman" w:hAnsi="Times New Roman"/>
          <w:color w:val="FF0000"/>
        </w:rPr>
        <w:t xml:space="preserve">Los apartados propuestos son orientativos y pueden ser ligeramente modificados. La extensión y el resto de formato debe ser respetado, en cualquier caso.  </w:t>
      </w:r>
    </w:p>
    <w:bookmarkEnd w:id="0"/>
    <w:p w14:paraId="12DE8652" w14:textId="77777777" w:rsidR="00F45AD2" w:rsidRPr="00F3164E" w:rsidRDefault="00F45AD2" w:rsidP="00F45AD2">
      <w:pPr>
        <w:pBdr>
          <w:bottom w:val="single" w:sz="6" w:space="1" w:color="auto"/>
        </w:pBdr>
        <w:spacing w:line="240" w:lineRule="auto"/>
        <w:rPr>
          <w:rFonts w:ascii="Times New Roman" w:hAnsi="Times New Roman"/>
          <w:b/>
        </w:rPr>
      </w:pPr>
    </w:p>
    <w:p w14:paraId="7DD3BF1E" w14:textId="77777777" w:rsidR="00F45AD2" w:rsidRPr="00F3164E" w:rsidRDefault="00F45AD2" w:rsidP="00F45AD2">
      <w:pPr>
        <w:jc w:val="center"/>
        <w:rPr>
          <w:rFonts w:ascii="Times New Roman" w:hAnsi="Times New Roman"/>
          <w:b/>
          <w:sz w:val="32"/>
          <w:szCs w:val="32"/>
        </w:rPr>
      </w:pPr>
      <w:r w:rsidRPr="00F3164E">
        <w:rPr>
          <w:rFonts w:ascii="Times New Roman" w:hAnsi="Times New Roman"/>
          <w:b/>
          <w:sz w:val="32"/>
          <w:szCs w:val="32"/>
        </w:rPr>
        <w:t>LA GESTIÓN DE CONOCMIENTO EN LA FORMACIÓN DUAL EN COLOMBIA</w:t>
      </w:r>
    </w:p>
    <w:p w14:paraId="3F57DF1B" w14:textId="77777777" w:rsidR="00F45AD2" w:rsidRPr="00F3164E" w:rsidRDefault="00F45AD2" w:rsidP="00F45AD2">
      <w:pPr>
        <w:spacing w:line="240" w:lineRule="auto"/>
        <w:jc w:val="right"/>
        <w:rPr>
          <w:rFonts w:ascii="Times New Roman" w:hAnsi="Times New Roman"/>
          <w:b/>
          <w:sz w:val="24"/>
          <w:szCs w:val="24"/>
        </w:rPr>
      </w:pPr>
      <w:r w:rsidRPr="00F3164E">
        <w:rPr>
          <w:rFonts w:ascii="Times New Roman" w:hAnsi="Times New Roman"/>
          <w:b/>
          <w:sz w:val="24"/>
          <w:szCs w:val="24"/>
        </w:rPr>
        <w:t>(Adela Margarita Vélez Rolón)</w:t>
      </w:r>
    </w:p>
    <w:p w14:paraId="2916D65E" w14:textId="77777777" w:rsidR="00F45AD2" w:rsidRPr="00F3164E" w:rsidRDefault="00F45AD2" w:rsidP="00F45AD2">
      <w:pPr>
        <w:spacing w:line="240" w:lineRule="auto"/>
        <w:jc w:val="right"/>
        <w:rPr>
          <w:rFonts w:ascii="Times New Roman" w:hAnsi="Times New Roman"/>
          <w:sz w:val="24"/>
          <w:szCs w:val="24"/>
        </w:rPr>
      </w:pPr>
      <w:r w:rsidRPr="00F3164E">
        <w:rPr>
          <w:rFonts w:ascii="Times New Roman" w:hAnsi="Times New Roman"/>
          <w:sz w:val="24"/>
          <w:szCs w:val="24"/>
        </w:rPr>
        <w:t>(Colegio de Estudios Superiores de Administración Cesa. Colombia)</w:t>
      </w:r>
    </w:p>
    <w:p w14:paraId="6C2A9988" w14:textId="77777777" w:rsidR="00F45AD2" w:rsidRPr="00F3164E" w:rsidRDefault="00F45AD2" w:rsidP="00F45AD2">
      <w:pPr>
        <w:spacing w:line="240" w:lineRule="auto"/>
        <w:jc w:val="both"/>
        <w:rPr>
          <w:rFonts w:ascii="Times New Roman" w:hAnsi="Times New Roman"/>
          <w:b/>
          <w:i/>
          <w:sz w:val="26"/>
          <w:szCs w:val="26"/>
        </w:rPr>
      </w:pPr>
    </w:p>
    <w:p w14:paraId="3950D7E4" w14:textId="77777777" w:rsidR="00F45AD2" w:rsidRPr="00F3164E" w:rsidRDefault="00F45AD2" w:rsidP="00F45AD2">
      <w:pPr>
        <w:spacing w:line="240" w:lineRule="auto"/>
        <w:jc w:val="both"/>
        <w:rPr>
          <w:rFonts w:ascii="Times New Roman" w:hAnsi="Times New Roman"/>
          <w:b/>
          <w:sz w:val="26"/>
          <w:szCs w:val="26"/>
        </w:rPr>
      </w:pPr>
      <w:r w:rsidRPr="00F3164E">
        <w:rPr>
          <w:rFonts w:ascii="Times New Roman" w:hAnsi="Times New Roman"/>
          <w:b/>
          <w:i/>
          <w:sz w:val="26"/>
          <w:szCs w:val="26"/>
        </w:rPr>
        <w:t xml:space="preserve">Resumen </w:t>
      </w:r>
      <w:r w:rsidRPr="00F3164E">
        <w:rPr>
          <w:rFonts w:ascii="Times New Roman" w:hAnsi="Times New Roman"/>
          <w:i/>
          <w:sz w:val="26"/>
          <w:szCs w:val="26"/>
        </w:rPr>
        <w:t>(13 puntos/ negrita/ cursiva) (350 palabras)</w:t>
      </w:r>
    </w:p>
    <w:p w14:paraId="6D770571"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 xml:space="preserve">El modelo de formación dual alemán, es decir el que combina el proceso de formación entre el aula y la empresa, fue transferido a la formación en el pregrado en Colombia en el año 2001, sin embargo, presenta desafíos aún en la comprensión de cómo es apropiado y transferido el conocimiento entre los dos espacios de formación. La presente investigación analiza los mecanismos de gestión y transferencia de conocimiento en los programas de formación dual en </w:t>
      </w:r>
      <w:r w:rsidRPr="00F3164E">
        <w:rPr>
          <w:rFonts w:ascii="Times New Roman" w:hAnsi="Times New Roman"/>
          <w:sz w:val="24"/>
          <w:szCs w:val="24"/>
        </w:rPr>
        <w:lastRenderedPageBreak/>
        <w:t>Colombia. La metodología utilizada fue de tipo cualitativo como instrumento de investigación se realizaron análisis de documentos oficiales, entrevistas a profundidad y grupos focales, con los diferentes actores involucrados en el proceso de formación. Los resultamos muestran la riqueza de conocimientos que genera este tipo de formación, los vacíos y retos en la apropiación, los flujos de información y el papel que en el proceso desempeña cada actor. Estos resultados sirven de base para proponer modelos que conduzcan a aprovechar el conocimiento adquirido durante estos años y que a la vez genere valor para ambas partes.</w:t>
      </w:r>
    </w:p>
    <w:p w14:paraId="0A18A210" w14:textId="77777777" w:rsidR="00F45AD2" w:rsidRPr="00F3164E" w:rsidRDefault="00F45AD2" w:rsidP="00F45AD2">
      <w:pPr>
        <w:rPr>
          <w:rFonts w:ascii="Times New Roman" w:hAnsi="Times New Roman"/>
          <w:sz w:val="24"/>
          <w:szCs w:val="24"/>
        </w:rPr>
      </w:pPr>
      <w:r w:rsidRPr="00F3164E">
        <w:rPr>
          <w:rFonts w:ascii="Times New Roman" w:hAnsi="Times New Roman"/>
          <w:sz w:val="24"/>
          <w:szCs w:val="24"/>
        </w:rPr>
        <w:br w:type="page"/>
      </w:r>
    </w:p>
    <w:p w14:paraId="6E0DE367" w14:textId="77777777" w:rsidR="00F45AD2" w:rsidRPr="00F3164E" w:rsidRDefault="00F45AD2" w:rsidP="00F45AD2">
      <w:pPr>
        <w:jc w:val="center"/>
        <w:rPr>
          <w:rFonts w:ascii="Times New Roman" w:hAnsi="Times New Roman"/>
          <w:b/>
          <w:sz w:val="32"/>
          <w:szCs w:val="32"/>
        </w:rPr>
      </w:pPr>
      <w:r w:rsidRPr="00F3164E">
        <w:rPr>
          <w:rFonts w:ascii="Times New Roman" w:hAnsi="Times New Roman"/>
          <w:b/>
          <w:sz w:val="32"/>
          <w:szCs w:val="32"/>
        </w:rPr>
        <w:lastRenderedPageBreak/>
        <w:t>LA GESTIÓN DE CONOCMIENTO EN LA FORMACIÓN DUAL EN COLOMBIA</w:t>
      </w:r>
    </w:p>
    <w:p w14:paraId="25D9CAF9" w14:textId="77777777" w:rsidR="00F45AD2" w:rsidRPr="00F3164E" w:rsidRDefault="00F45AD2" w:rsidP="00F45AD2">
      <w:pPr>
        <w:spacing w:line="240" w:lineRule="auto"/>
        <w:jc w:val="right"/>
        <w:rPr>
          <w:rFonts w:ascii="Times New Roman" w:hAnsi="Times New Roman"/>
          <w:b/>
          <w:sz w:val="24"/>
          <w:szCs w:val="24"/>
        </w:rPr>
      </w:pPr>
      <w:r w:rsidRPr="00F3164E">
        <w:rPr>
          <w:rFonts w:ascii="Times New Roman" w:hAnsi="Times New Roman"/>
          <w:b/>
          <w:sz w:val="24"/>
          <w:szCs w:val="24"/>
        </w:rPr>
        <w:t>Adela Margarita Vélez Rolón</w:t>
      </w:r>
    </w:p>
    <w:p w14:paraId="2F4C834E" w14:textId="77777777" w:rsidR="00F45AD2" w:rsidRPr="00F3164E" w:rsidRDefault="00F45AD2" w:rsidP="00F45AD2">
      <w:pPr>
        <w:spacing w:line="240" w:lineRule="auto"/>
        <w:jc w:val="right"/>
        <w:rPr>
          <w:rFonts w:ascii="Times New Roman" w:hAnsi="Times New Roman"/>
          <w:sz w:val="24"/>
          <w:szCs w:val="24"/>
        </w:rPr>
      </w:pPr>
      <w:r w:rsidRPr="00F3164E">
        <w:rPr>
          <w:rFonts w:ascii="Times New Roman" w:hAnsi="Times New Roman"/>
          <w:sz w:val="24"/>
          <w:szCs w:val="24"/>
        </w:rPr>
        <w:t>(Colegio de Estudios Superiores de Administración Cesa. Colombia)</w:t>
      </w:r>
    </w:p>
    <w:p w14:paraId="255620CD" w14:textId="77777777" w:rsidR="00F45AD2" w:rsidRPr="00F3164E" w:rsidRDefault="00F45AD2" w:rsidP="00F45AD2">
      <w:pPr>
        <w:spacing w:line="240" w:lineRule="auto"/>
        <w:jc w:val="right"/>
        <w:rPr>
          <w:rFonts w:ascii="Times New Roman" w:hAnsi="Times New Roman"/>
          <w:sz w:val="24"/>
          <w:szCs w:val="24"/>
        </w:rPr>
      </w:pPr>
    </w:p>
    <w:p w14:paraId="74352DAA" w14:textId="77777777" w:rsidR="00F45AD2" w:rsidRPr="00F3164E" w:rsidRDefault="00F45AD2" w:rsidP="00F45AD2">
      <w:pPr>
        <w:spacing w:line="240" w:lineRule="auto"/>
        <w:jc w:val="right"/>
        <w:rPr>
          <w:rFonts w:ascii="Times New Roman" w:hAnsi="Times New Roman"/>
          <w:sz w:val="24"/>
          <w:szCs w:val="24"/>
        </w:rPr>
      </w:pPr>
    </w:p>
    <w:p w14:paraId="3725C0C1" w14:textId="77777777" w:rsidR="00F45AD2" w:rsidRPr="00F3164E" w:rsidRDefault="00F45AD2" w:rsidP="00F45AD2">
      <w:pPr>
        <w:pStyle w:val="Prrafodelista"/>
        <w:numPr>
          <w:ilvl w:val="1"/>
          <w:numId w:val="12"/>
        </w:numPr>
        <w:spacing w:line="240" w:lineRule="auto"/>
        <w:jc w:val="both"/>
        <w:rPr>
          <w:rFonts w:ascii="Times New Roman" w:hAnsi="Times New Roman"/>
          <w:b/>
          <w:sz w:val="26"/>
          <w:szCs w:val="26"/>
        </w:rPr>
      </w:pPr>
      <w:r w:rsidRPr="00F3164E">
        <w:rPr>
          <w:rFonts w:ascii="Times New Roman" w:hAnsi="Times New Roman"/>
          <w:b/>
          <w:i/>
          <w:sz w:val="26"/>
          <w:szCs w:val="26"/>
        </w:rPr>
        <w:t xml:space="preserve">Introducción </w:t>
      </w:r>
    </w:p>
    <w:p w14:paraId="3E607877"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La llegada del siglo XXI, trajo consigo grandes presiones para los modelos convencionales en educación superior, siendo necesario que estas instituciones se reinventen no solo desde los nuevos saberes necesarios para afrontar un mundo globalizado y los desafíos que esto conlleva, sino que a la vez sean capaces desde su estructura misma de acercarse a estos desafíos de manera innovadora.</w:t>
      </w:r>
    </w:p>
    <w:p w14:paraId="15FA4A98"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El sistema de educación dual nacido en Alemania, en el cual se combina la educación en el aula de clase y la formación en la empresa, no es un modelo nuevo por el contrario nace en la edad media, pero cobra vigencia en este momento, ya que acerca a los estudiantes a las necesidades reales de la sociedad en especial del sistema productivo.</w:t>
      </w:r>
    </w:p>
    <w:p w14:paraId="3E0C6922" w14:textId="77777777" w:rsidR="00F45AD2" w:rsidRPr="00F3164E" w:rsidRDefault="00F45AD2" w:rsidP="00F45AD2">
      <w:pPr>
        <w:spacing w:line="240" w:lineRule="auto"/>
        <w:jc w:val="both"/>
        <w:rPr>
          <w:rFonts w:ascii="Times New Roman" w:hAnsi="Times New Roman"/>
          <w:sz w:val="24"/>
          <w:szCs w:val="24"/>
        </w:rPr>
      </w:pPr>
      <w:r w:rsidRPr="00F3164E">
        <w:rPr>
          <w:rFonts w:ascii="Times New Roman" w:hAnsi="Times New Roman"/>
          <w:sz w:val="24"/>
          <w:szCs w:val="24"/>
        </w:rPr>
        <w:t>Dentro de las características más importantes del modelo transferido podrían enumerarse: 1) formación profesional (pregrado) en 7 semestres, 2) alternancia en la formación 13 semanas en aula y 13 semanas en empresa cada semestre en promedio, 3) “</w:t>
      </w:r>
      <w:proofErr w:type="spellStart"/>
      <w:r w:rsidRPr="00F3164E">
        <w:rPr>
          <w:rFonts w:ascii="Times New Roman" w:hAnsi="Times New Roman"/>
          <w:sz w:val="24"/>
          <w:szCs w:val="24"/>
        </w:rPr>
        <w:t>paralelidad</w:t>
      </w:r>
      <w:proofErr w:type="spellEnd"/>
      <w:r w:rsidRPr="00F3164E">
        <w:rPr>
          <w:rFonts w:ascii="Times New Roman" w:hAnsi="Times New Roman"/>
          <w:sz w:val="24"/>
          <w:szCs w:val="24"/>
        </w:rPr>
        <w:t xml:space="preserve"> didáctica” es decir la aplicación de lo aprendido semestralmente en aula directamente a la empresa, 4) realización del proyecto en empresa, 5) formadores en aula y formadores en empresa. Las universidades pertenecen a la red de universidades empresariales llamada la DHLA</w:t>
      </w:r>
    </w:p>
    <w:p w14:paraId="7D2A14DD"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Este modelo es transferido a Latinoamérica para la formación en pregrado desde el año 2001, en un esfuerzo conjunto entre las cámaras de comercio locales en Perú, Colombia, México y Ecuador y el gobierno alemán. En el caso concreto colombiano 4 Instituciones de Educación Superior en diferentes ciudades ofrecen este tipo de formación.</w:t>
      </w:r>
    </w:p>
    <w:p w14:paraId="526F687B"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Esta transferencia de un sistema de formación creado para un contexto con características económicas y sociales diferentes a las encontradas en Latinoamérica, hace que el proceso en sí sea un reto. Pero se convierte en una oportunidad para acercar el sector académico y el sector productivo atendiendo a las necesidades puntuales de ambos mundos.</w:t>
      </w:r>
    </w:p>
    <w:p w14:paraId="17081CD0"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Sin embargo, pese a llevar casi dos décadas de transferido es poco lo que se conoce aún de cómo se gestiona y transfiere el conocimiento entre el aula y la empresa en el proceso de formación.</w:t>
      </w:r>
    </w:p>
    <w:p w14:paraId="2D462125"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La investigación presentada tiene como objetivo analizar cómo se gestiona y transfiere el conocimiento en los programas de formación dual profesional en Colombia. Es así que esta investigación se enmarca dentro de las teorías propuestas que contextualizan la gestión y transferencia de conocimiento, como marco de análisis.</w:t>
      </w:r>
    </w:p>
    <w:p w14:paraId="76724A27" w14:textId="77777777" w:rsidR="00F45AD2" w:rsidRPr="00F3164E" w:rsidRDefault="00F45AD2" w:rsidP="00F45AD2">
      <w:pPr>
        <w:spacing w:line="240" w:lineRule="auto"/>
        <w:ind w:firstLine="284"/>
        <w:jc w:val="both"/>
        <w:rPr>
          <w:rFonts w:ascii="Times New Roman" w:hAnsi="Times New Roman"/>
          <w:sz w:val="24"/>
          <w:szCs w:val="24"/>
        </w:rPr>
      </w:pPr>
    </w:p>
    <w:p w14:paraId="19939F79" w14:textId="77777777" w:rsidR="00F45AD2" w:rsidRPr="00F3164E" w:rsidRDefault="00F45AD2" w:rsidP="00F45AD2">
      <w:pPr>
        <w:spacing w:line="240" w:lineRule="auto"/>
        <w:ind w:firstLine="284"/>
        <w:jc w:val="both"/>
        <w:rPr>
          <w:rFonts w:ascii="Times New Roman" w:hAnsi="Times New Roman"/>
          <w:sz w:val="24"/>
          <w:szCs w:val="24"/>
        </w:rPr>
      </w:pPr>
    </w:p>
    <w:p w14:paraId="4F59AE9C" w14:textId="77777777" w:rsidR="00F45AD2" w:rsidRPr="00F3164E" w:rsidRDefault="00F45AD2" w:rsidP="00F45AD2">
      <w:pPr>
        <w:spacing w:line="240" w:lineRule="auto"/>
        <w:jc w:val="both"/>
        <w:rPr>
          <w:rFonts w:ascii="Times New Roman" w:hAnsi="Times New Roman"/>
          <w:b/>
          <w:sz w:val="24"/>
          <w:szCs w:val="24"/>
        </w:rPr>
      </w:pPr>
      <w:r>
        <w:rPr>
          <w:rFonts w:ascii="Times New Roman" w:hAnsi="Times New Roman"/>
          <w:b/>
          <w:sz w:val="24"/>
          <w:szCs w:val="24"/>
        </w:rPr>
        <w:lastRenderedPageBreak/>
        <w:t xml:space="preserve">1.1.1 </w:t>
      </w:r>
      <w:r w:rsidRPr="00F3164E">
        <w:rPr>
          <w:rFonts w:ascii="Times New Roman" w:hAnsi="Times New Roman"/>
          <w:b/>
          <w:sz w:val="24"/>
          <w:szCs w:val="24"/>
        </w:rPr>
        <w:t>Gestión de conocimiento</w:t>
      </w:r>
    </w:p>
    <w:p w14:paraId="3E8C85B7"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Esta investigación acoge la definición de Gestión de Conocimiento propuesta por Nonaka y Takeuchi (1995) quienes la abordan a partir de la conversión del conocimiento, entendiéndola como el proceso mediante el cual el conocimiento individual, el que parte de la experiencia y se construye a nivel personal llamado tácito puede ser transformado en conocimiento explicito o conocimiento estructurado capaz de ser transferido a otros.</w:t>
      </w:r>
    </w:p>
    <w:p w14:paraId="2FF29EAA"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 xml:space="preserve">Siendo relevante también entenderla desde una concepción </w:t>
      </w:r>
      <w:proofErr w:type="spellStart"/>
      <w:r w:rsidRPr="00F3164E">
        <w:rPr>
          <w:rFonts w:ascii="Times New Roman" w:hAnsi="Times New Roman"/>
          <w:sz w:val="24"/>
          <w:szCs w:val="24"/>
        </w:rPr>
        <w:t>mas</w:t>
      </w:r>
      <w:proofErr w:type="spellEnd"/>
      <w:r w:rsidRPr="00F3164E">
        <w:rPr>
          <w:rFonts w:ascii="Times New Roman" w:hAnsi="Times New Roman"/>
          <w:sz w:val="24"/>
          <w:szCs w:val="24"/>
        </w:rPr>
        <w:t xml:space="preserve"> actual, es decir entendiendo la gestión del conocimiento como un proceso de generación de valor, en este sentido </w:t>
      </w:r>
      <w:proofErr w:type="spellStart"/>
      <w:r w:rsidRPr="00F3164E">
        <w:rPr>
          <w:rFonts w:ascii="Times New Roman" w:hAnsi="Times New Roman"/>
          <w:sz w:val="24"/>
          <w:szCs w:val="24"/>
        </w:rPr>
        <w:t>Hislop</w:t>
      </w:r>
      <w:proofErr w:type="spellEnd"/>
      <w:r w:rsidRPr="00F3164E">
        <w:rPr>
          <w:rFonts w:ascii="Times New Roman" w:hAnsi="Times New Roman"/>
          <w:sz w:val="24"/>
          <w:szCs w:val="24"/>
        </w:rPr>
        <w:t xml:space="preserve">, </w:t>
      </w:r>
      <w:proofErr w:type="spellStart"/>
      <w:r w:rsidRPr="00F3164E">
        <w:rPr>
          <w:rFonts w:ascii="Times New Roman" w:hAnsi="Times New Roman"/>
          <w:sz w:val="24"/>
          <w:szCs w:val="24"/>
        </w:rPr>
        <w:t>Bosua</w:t>
      </w:r>
      <w:proofErr w:type="spellEnd"/>
      <w:r w:rsidRPr="00F3164E">
        <w:rPr>
          <w:rFonts w:ascii="Times New Roman" w:hAnsi="Times New Roman"/>
          <w:sz w:val="24"/>
          <w:szCs w:val="24"/>
        </w:rPr>
        <w:t xml:space="preserve"> &amp; Helms (2018) plantean posible esta relación en la medida en que los activos de conocimiento son aprovechados por las organizaciones para mejorar sus procesos, desarrollar innovaciones y hacer uso de las nuevas tecnologías. Sobre esto, </w:t>
      </w:r>
      <w:proofErr w:type="spellStart"/>
      <w:r w:rsidRPr="00F3164E">
        <w:rPr>
          <w:rFonts w:ascii="Times New Roman" w:hAnsi="Times New Roman"/>
          <w:sz w:val="24"/>
          <w:szCs w:val="24"/>
        </w:rPr>
        <w:t>Abubakar</w:t>
      </w:r>
      <w:proofErr w:type="spellEnd"/>
      <w:r w:rsidRPr="00F3164E">
        <w:rPr>
          <w:rFonts w:ascii="Times New Roman" w:hAnsi="Times New Roman"/>
          <w:sz w:val="24"/>
          <w:szCs w:val="24"/>
        </w:rPr>
        <w:t xml:space="preserve">, </w:t>
      </w:r>
      <w:proofErr w:type="spellStart"/>
      <w:r w:rsidRPr="00F3164E">
        <w:rPr>
          <w:rFonts w:ascii="Times New Roman" w:hAnsi="Times New Roman"/>
          <w:sz w:val="24"/>
          <w:szCs w:val="24"/>
        </w:rPr>
        <w:t>Elrehail</w:t>
      </w:r>
      <w:proofErr w:type="spellEnd"/>
      <w:r w:rsidRPr="00F3164E">
        <w:rPr>
          <w:rFonts w:ascii="Times New Roman" w:hAnsi="Times New Roman"/>
          <w:sz w:val="24"/>
          <w:szCs w:val="24"/>
        </w:rPr>
        <w:t xml:space="preserve">, </w:t>
      </w:r>
      <w:proofErr w:type="spellStart"/>
      <w:r w:rsidRPr="00F3164E">
        <w:rPr>
          <w:rFonts w:ascii="Times New Roman" w:hAnsi="Times New Roman"/>
          <w:sz w:val="24"/>
          <w:szCs w:val="24"/>
        </w:rPr>
        <w:t>Alatailat</w:t>
      </w:r>
      <w:proofErr w:type="spellEnd"/>
      <w:r w:rsidRPr="00F3164E">
        <w:rPr>
          <w:rFonts w:ascii="Times New Roman" w:hAnsi="Times New Roman"/>
          <w:sz w:val="24"/>
          <w:szCs w:val="24"/>
        </w:rPr>
        <w:t xml:space="preserve">, &amp; </w:t>
      </w:r>
      <w:proofErr w:type="spellStart"/>
      <w:r w:rsidRPr="00F3164E">
        <w:rPr>
          <w:rFonts w:ascii="Times New Roman" w:hAnsi="Times New Roman"/>
          <w:sz w:val="24"/>
          <w:szCs w:val="24"/>
        </w:rPr>
        <w:t>Elçi</w:t>
      </w:r>
      <w:proofErr w:type="spellEnd"/>
      <w:r w:rsidRPr="00F3164E">
        <w:rPr>
          <w:rFonts w:ascii="Times New Roman" w:hAnsi="Times New Roman"/>
          <w:sz w:val="24"/>
          <w:szCs w:val="24"/>
        </w:rPr>
        <w:t xml:space="preserve"> (2019) describen la relevancia que ha tomado este tema al igual que la industria 4.0 en las organizaciones para la toma de decisiones, es decir que hoy en día el manejo de datos robustos la inteligencia artificial y el entendimiento de estos se convierten en factores claves para las organizaciones modernas. </w:t>
      </w:r>
    </w:p>
    <w:p w14:paraId="09BDA9CA"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 xml:space="preserve">Du </w:t>
      </w:r>
      <w:proofErr w:type="spellStart"/>
      <w:r w:rsidRPr="00F3164E">
        <w:rPr>
          <w:rFonts w:ascii="Times New Roman" w:hAnsi="Times New Roman"/>
          <w:sz w:val="24"/>
          <w:szCs w:val="24"/>
        </w:rPr>
        <w:t>Plessis</w:t>
      </w:r>
      <w:proofErr w:type="spellEnd"/>
      <w:r w:rsidRPr="00F3164E">
        <w:rPr>
          <w:rFonts w:ascii="Times New Roman" w:hAnsi="Times New Roman"/>
          <w:sz w:val="24"/>
          <w:szCs w:val="24"/>
        </w:rPr>
        <w:t xml:space="preserve"> (2007) identifica los impulsores que movilizan la innovación desde la aplicación de la gestión del conocimiento encontrando que estos </w:t>
      </w:r>
      <w:proofErr w:type="gramStart"/>
      <w:r w:rsidRPr="00F3164E">
        <w:rPr>
          <w:rFonts w:ascii="Times New Roman" w:hAnsi="Times New Roman"/>
          <w:sz w:val="24"/>
          <w:szCs w:val="24"/>
        </w:rPr>
        <w:t>e</w:t>
      </w:r>
      <w:proofErr w:type="gramEnd"/>
      <w:r w:rsidRPr="00F3164E">
        <w:rPr>
          <w:rFonts w:ascii="Times New Roman" w:hAnsi="Times New Roman"/>
          <w:sz w:val="24"/>
          <w:szCs w:val="24"/>
        </w:rPr>
        <w:t xml:space="preserve"> relacionan con las prácticas, estructura, tecnología y cultura empresarial, en este mismo contexto </w:t>
      </w:r>
      <w:proofErr w:type="spellStart"/>
      <w:r w:rsidRPr="00F3164E">
        <w:rPr>
          <w:rFonts w:ascii="Times New Roman" w:hAnsi="Times New Roman"/>
          <w:sz w:val="24"/>
          <w:szCs w:val="24"/>
        </w:rPr>
        <w:t>Alzghoul</w:t>
      </w:r>
      <w:proofErr w:type="spellEnd"/>
      <w:r w:rsidRPr="00F3164E">
        <w:rPr>
          <w:rFonts w:ascii="Times New Roman" w:hAnsi="Times New Roman"/>
          <w:sz w:val="24"/>
          <w:szCs w:val="24"/>
        </w:rPr>
        <w:t xml:space="preserve">, </w:t>
      </w:r>
      <w:proofErr w:type="spellStart"/>
      <w:r w:rsidRPr="00F3164E">
        <w:rPr>
          <w:rFonts w:ascii="Times New Roman" w:hAnsi="Times New Roman"/>
          <w:sz w:val="24"/>
          <w:szCs w:val="24"/>
        </w:rPr>
        <w:t>Elrehail</w:t>
      </w:r>
      <w:proofErr w:type="spellEnd"/>
      <w:r w:rsidRPr="00F3164E">
        <w:rPr>
          <w:rFonts w:ascii="Times New Roman" w:hAnsi="Times New Roman"/>
          <w:sz w:val="24"/>
          <w:szCs w:val="24"/>
        </w:rPr>
        <w:t xml:space="preserve">, </w:t>
      </w:r>
      <w:proofErr w:type="spellStart"/>
      <w:r w:rsidRPr="00F3164E">
        <w:rPr>
          <w:rFonts w:ascii="Times New Roman" w:hAnsi="Times New Roman"/>
          <w:sz w:val="24"/>
          <w:szCs w:val="24"/>
        </w:rPr>
        <w:t>Emeagwali</w:t>
      </w:r>
      <w:proofErr w:type="spellEnd"/>
      <w:r w:rsidRPr="00F3164E">
        <w:rPr>
          <w:rFonts w:ascii="Times New Roman" w:hAnsi="Times New Roman"/>
          <w:sz w:val="24"/>
          <w:szCs w:val="24"/>
        </w:rPr>
        <w:t xml:space="preserve"> &amp; </w:t>
      </w:r>
      <w:proofErr w:type="spellStart"/>
      <w:r w:rsidRPr="00F3164E">
        <w:rPr>
          <w:rFonts w:ascii="Times New Roman" w:hAnsi="Times New Roman"/>
          <w:sz w:val="24"/>
          <w:szCs w:val="24"/>
        </w:rPr>
        <w:t>AlShboul</w:t>
      </w:r>
      <w:proofErr w:type="spellEnd"/>
      <w:r w:rsidRPr="00F3164E">
        <w:rPr>
          <w:rFonts w:ascii="Times New Roman" w:hAnsi="Times New Roman"/>
          <w:sz w:val="24"/>
          <w:szCs w:val="24"/>
        </w:rPr>
        <w:t xml:space="preserve"> (2018) plantean que para esto es necesario el intercambio de conocimientos para estimular la creatividad y el rendimiento.</w:t>
      </w:r>
    </w:p>
    <w:p w14:paraId="4C276F8B"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Es así que entender como son dados los procesos de gestión y transferencia de conocimiento entre dos organizaciones tan disimiles como el aula y la empresa permite entender las dinámicas propias del sector empresarial, sus retos y oportunidades de mejora en términos de productividad e innovación, por otra parte, permite a la academia preparar futuros profesionales competentes, capaces de entender las necesidades reales del sector productivo.</w:t>
      </w:r>
    </w:p>
    <w:p w14:paraId="1FEEF413" w14:textId="77777777" w:rsidR="00F45AD2" w:rsidRPr="00F3164E" w:rsidRDefault="00F45AD2" w:rsidP="00F45AD2">
      <w:pPr>
        <w:spacing w:line="240" w:lineRule="auto"/>
        <w:jc w:val="both"/>
        <w:rPr>
          <w:rFonts w:ascii="Times New Roman" w:hAnsi="Times New Roman"/>
          <w:b/>
          <w:sz w:val="24"/>
          <w:szCs w:val="24"/>
        </w:rPr>
      </w:pPr>
      <w:r>
        <w:rPr>
          <w:rFonts w:ascii="Times New Roman" w:hAnsi="Times New Roman"/>
          <w:b/>
          <w:sz w:val="24"/>
          <w:szCs w:val="24"/>
        </w:rPr>
        <w:t xml:space="preserve">1.1.2 </w:t>
      </w:r>
      <w:r w:rsidRPr="00F3164E">
        <w:rPr>
          <w:rFonts w:ascii="Times New Roman" w:hAnsi="Times New Roman"/>
          <w:b/>
          <w:sz w:val="24"/>
          <w:szCs w:val="24"/>
        </w:rPr>
        <w:t>Transferencia de conocimiento</w:t>
      </w:r>
    </w:p>
    <w:p w14:paraId="2D1648CE"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lang w:val="es-CO"/>
        </w:rPr>
        <w:t xml:space="preserve"> </w:t>
      </w:r>
      <w:r w:rsidRPr="00F3164E">
        <w:rPr>
          <w:rFonts w:ascii="Times New Roman" w:hAnsi="Times New Roman"/>
          <w:sz w:val="24"/>
          <w:szCs w:val="24"/>
        </w:rPr>
        <w:t>La transferencia de conocimiento debe ser entendida como un proceso que permite el flujo de conocimiento y que permite modificar comportamientos y competencias mejorando una actividad, esto requiere entender la importancia del conocimiento, su uso disposición y la dirección en la que este proceso se esté dando.</w:t>
      </w:r>
    </w:p>
    <w:p w14:paraId="4AF3E0C0"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lang w:val="es-CO"/>
        </w:rPr>
        <w:t xml:space="preserve"> </w:t>
      </w:r>
      <w:r w:rsidRPr="00F3164E">
        <w:rPr>
          <w:rFonts w:ascii="Times New Roman" w:hAnsi="Times New Roman"/>
          <w:sz w:val="24"/>
          <w:szCs w:val="24"/>
        </w:rPr>
        <w:t xml:space="preserve">Baldwin y Ford (1988) identifican como factores clave para la transferencia en el puesto de trabajo, la auto eficiencia y la motivación, en cuanto a los participantes, frente al conocimiento a ser transferido la relevancia y utilidad del mismo y sobre el contexto el apoyo de los superiores y la autonomía en la transferencia. </w:t>
      </w:r>
      <w:proofErr w:type="spellStart"/>
      <w:r w:rsidRPr="00F3164E">
        <w:rPr>
          <w:rFonts w:ascii="Times New Roman" w:hAnsi="Times New Roman"/>
          <w:sz w:val="24"/>
          <w:szCs w:val="24"/>
        </w:rPr>
        <w:t>Gessler</w:t>
      </w:r>
      <w:proofErr w:type="spellEnd"/>
      <w:r w:rsidRPr="00F3164E">
        <w:rPr>
          <w:rFonts w:ascii="Times New Roman" w:hAnsi="Times New Roman"/>
          <w:sz w:val="24"/>
          <w:szCs w:val="24"/>
        </w:rPr>
        <w:t xml:space="preserve"> y </w:t>
      </w:r>
      <w:proofErr w:type="spellStart"/>
      <w:r w:rsidRPr="00F3164E">
        <w:rPr>
          <w:rFonts w:ascii="Times New Roman" w:hAnsi="Times New Roman"/>
          <w:sz w:val="24"/>
          <w:szCs w:val="24"/>
        </w:rPr>
        <w:t>Hinrichs</w:t>
      </w:r>
      <w:proofErr w:type="spellEnd"/>
      <w:r w:rsidRPr="00F3164E">
        <w:rPr>
          <w:rFonts w:ascii="Times New Roman" w:hAnsi="Times New Roman"/>
          <w:sz w:val="24"/>
          <w:szCs w:val="24"/>
        </w:rPr>
        <w:t xml:space="preserve"> (2015) por su parte, establecen que los elementos clave son la motivación de los participantes; la situación de transferencia, y el campo de actuación y estos se relacionan al clima laboral y el apoyo de superiores.</w:t>
      </w:r>
    </w:p>
    <w:p w14:paraId="0901FE65" w14:textId="77777777" w:rsidR="00F45AD2"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lang w:val="es-CO"/>
        </w:rPr>
        <w:t xml:space="preserve">Las variables elegidas para esta investigación parten de las establecidas en el estudio de Gupta y </w:t>
      </w:r>
      <w:proofErr w:type="spellStart"/>
      <w:r w:rsidRPr="00F3164E">
        <w:rPr>
          <w:rFonts w:ascii="Times New Roman" w:hAnsi="Times New Roman"/>
          <w:sz w:val="24"/>
          <w:szCs w:val="24"/>
          <w:lang w:val="es-CO"/>
        </w:rPr>
        <w:t>Govindarajan</w:t>
      </w:r>
      <w:proofErr w:type="spellEnd"/>
      <w:r w:rsidRPr="00F3164E">
        <w:rPr>
          <w:rFonts w:ascii="Times New Roman" w:hAnsi="Times New Roman"/>
          <w:sz w:val="24"/>
          <w:szCs w:val="24"/>
          <w:lang w:val="es-CO"/>
        </w:rPr>
        <w:t xml:space="preserve"> (2000) desde la teoría de la comunicación: el valor del conocimiento, la disposición</w:t>
      </w:r>
      <w:r w:rsidRPr="00F3164E">
        <w:rPr>
          <w:rFonts w:ascii="Times New Roman" w:hAnsi="Times New Roman"/>
          <w:sz w:val="24"/>
          <w:szCs w:val="24"/>
        </w:rPr>
        <w:t xml:space="preserve"> para compartir, la existencia y riqueza de canales para la transmisión, la capacidad de asimilación y uso del conocimiento.</w:t>
      </w:r>
    </w:p>
    <w:p w14:paraId="2C891799" w14:textId="77777777" w:rsidR="00F45AD2" w:rsidRDefault="00F45AD2" w:rsidP="00F45AD2">
      <w:pPr>
        <w:spacing w:line="240" w:lineRule="auto"/>
        <w:ind w:firstLine="284"/>
        <w:jc w:val="both"/>
        <w:rPr>
          <w:rFonts w:ascii="Times New Roman" w:hAnsi="Times New Roman"/>
          <w:sz w:val="24"/>
          <w:szCs w:val="24"/>
        </w:rPr>
      </w:pPr>
    </w:p>
    <w:p w14:paraId="225B172F" w14:textId="77777777" w:rsidR="00F45AD2" w:rsidRPr="00F3164E" w:rsidRDefault="00F45AD2" w:rsidP="00F45AD2">
      <w:pPr>
        <w:spacing w:line="240" w:lineRule="auto"/>
        <w:ind w:firstLine="284"/>
        <w:jc w:val="both"/>
        <w:rPr>
          <w:rFonts w:ascii="Times New Roman" w:hAnsi="Times New Roman"/>
          <w:sz w:val="24"/>
          <w:szCs w:val="24"/>
        </w:rPr>
      </w:pPr>
    </w:p>
    <w:p w14:paraId="1B952E4F" w14:textId="77777777" w:rsidR="00F45AD2" w:rsidRPr="00F3164E" w:rsidRDefault="00F45AD2" w:rsidP="00F45AD2">
      <w:pPr>
        <w:spacing w:line="240" w:lineRule="auto"/>
        <w:jc w:val="both"/>
        <w:rPr>
          <w:rFonts w:ascii="Times New Roman" w:hAnsi="Times New Roman"/>
          <w:i/>
          <w:sz w:val="26"/>
          <w:szCs w:val="26"/>
        </w:rPr>
      </w:pPr>
      <w:r w:rsidRPr="00F3164E">
        <w:rPr>
          <w:rFonts w:ascii="Times New Roman" w:hAnsi="Times New Roman"/>
          <w:b/>
          <w:i/>
          <w:sz w:val="26"/>
          <w:szCs w:val="26"/>
        </w:rPr>
        <w:lastRenderedPageBreak/>
        <w:t xml:space="preserve">1.2. Objetivos </w:t>
      </w:r>
    </w:p>
    <w:p w14:paraId="451E4412"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La investigación tiene como objetivo general</w:t>
      </w:r>
    </w:p>
    <w:p w14:paraId="3526494C" w14:textId="77777777" w:rsidR="00F45AD2" w:rsidRPr="00F3164E" w:rsidRDefault="00F45AD2" w:rsidP="00F45AD2">
      <w:pPr>
        <w:spacing w:line="240" w:lineRule="auto"/>
        <w:ind w:firstLine="284"/>
        <w:jc w:val="both"/>
        <w:rPr>
          <w:rFonts w:ascii="Times New Roman" w:hAnsi="Times New Roman"/>
          <w:sz w:val="24"/>
          <w:szCs w:val="24"/>
        </w:rPr>
      </w:pPr>
      <w:r w:rsidRPr="00F3164E">
        <w:rPr>
          <w:rFonts w:ascii="Times New Roman" w:hAnsi="Times New Roman"/>
          <w:sz w:val="24"/>
          <w:szCs w:val="24"/>
        </w:rPr>
        <w:t>Analizar los mecanismos y procesos de gestión del conocimiento utilizados por las Instituciones de Educación Superior que imparten formación dual en Colombia.</w:t>
      </w:r>
    </w:p>
    <w:p w14:paraId="18D6AB86" w14:textId="77777777" w:rsidR="00F45AD2" w:rsidRPr="00F3164E" w:rsidRDefault="00F45AD2" w:rsidP="00F45AD2">
      <w:pPr>
        <w:spacing w:line="240" w:lineRule="auto"/>
        <w:jc w:val="both"/>
        <w:rPr>
          <w:rFonts w:ascii="Times New Roman" w:hAnsi="Times New Roman"/>
          <w:b/>
          <w:sz w:val="26"/>
          <w:szCs w:val="26"/>
        </w:rPr>
      </w:pPr>
      <w:r w:rsidRPr="00F3164E">
        <w:rPr>
          <w:rFonts w:ascii="Times New Roman" w:hAnsi="Times New Roman"/>
          <w:b/>
          <w:i/>
          <w:sz w:val="26"/>
          <w:szCs w:val="26"/>
        </w:rPr>
        <w:t xml:space="preserve">1.3. Metodología </w:t>
      </w:r>
    </w:p>
    <w:p w14:paraId="7E7EEF05" w14:textId="4BBD4EF7" w:rsidR="00F45AD2" w:rsidRPr="00F3164E" w:rsidRDefault="00F45AD2" w:rsidP="00F45AD2">
      <w:pPr>
        <w:spacing w:line="240" w:lineRule="auto"/>
        <w:jc w:val="both"/>
        <w:rPr>
          <w:rFonts w:ascii="Times New Roman" w:hAnsi="Times New Roman"/>
          <w:sz w:val="24"/>
          <w:szCs w:val="24"/>
        </w:rPr>
      </w:pPr>
      <w:r w:rsidRPr="00F3164E">
        <w:rPr>
          <w:rFonts w:ascii="Times New Roman" w:hAnsi="Times New Roman"/>
          <w:sz w:val="24"/>
          <w:szCs w:val="24"/>
        </w:rPr>
        <w:t>El enfoque metodológico utilizado parte de los métodos cualitativos, a partir del estudio de caso (Yin, 2003) como técnicas de recolección de datos fueron utilizadas el análisis documental, entrevistas semiestructuradas y los grupos focales.</w:t>
      </w:r>
      <w:r>
        <w:rPr>
          <w:rFonts w:ascii="Times New Roman" w:hAnsi="Times New Roman"/>
          <w:sz w:val="24"/>
          <w:szCs w:val="24"/>
        </w:rPr>
        <w:t xml:space="preserve"> </w:t>
      </w:r>
    </w:p>
    <w:p w14:paraId="66A48D9F" w14:textId="77777777" w:rsidR="00F45AD2" w:rsidRPr="00F3164E" w:rsidRDefault="00F45AD2" w:rsidP="00F45AD2">
      <w:pPr>
        <w:spacing w:line="240" w:lineRule="auto"/>
        <w:jc w:val="both"/>
        <w:rPr>
          <w:rFonts w:ascii="Times New Roman" w:hAnsi="Times New Roman"/>
          <w:b/>
          <w:sz w:val="24"/>
          <w:szCs w:val="24"/>
        </w:rPr>
      </w:pPr>
      <w:r w:rsidRPr="00F3164E">
        <w:rPr>
          <w:rFonts w:ascii="Times New Roman" w:hAnsi="Times New Roman"/>
          <w:b/>
          <w:sz w:val="24"/>
          <w:szCs w:val="24"/>
        </w:rPr>
        <w:t>1.3.1 Población del estudio</w:t>
      </w:r>
    </w:p>
    <w:p w14:paraId="51DA01E0" w14:textId="77777777" w:rsidR="00F45AD2" w:rsidRDefault="00F45AD2" w:rsidP="00F45AD2">
      <w:pPr>
        <w:spacing w:line="240" w:lineRule="auto"/>
        <w:jc w:val="both"/>
        <w:rPr>
          <w:rFonts w:ascii="Times New Roman" w:hAnsi="Times New Roman"/>
          <w:sz w:val="24"/>
          <w:szCs w:val="24"/>
        </w:rPr>
      </w:pPr>
      <w:r w:rsidRPr="00F3164E">
        <w:rPr>
          <w:rFonts w:ascii="Times New Roman" w:hAnsi="Times New Roman"/>
          <w:sz w:val="24"/>
          <w:szCs w:val="24"/>
        </w:rPr>
        <w:t>La investigación fue realizada tomando el universo completo de las Instituciones de Educación Superior que imparten al menos un programa de pregrado bajo el sistema de formación dual.</w:t>
      </w:r>
    </w:p>
    <w:p w14:paraId="3386C48B" w14:textId="77777777" w:rsidR="00F45AD2" w:rsidRDefault="00F45AD2" w:rsidP="00F45AD2">
      <w:pPr>
        <w:spacing w:line="240" w:lineRule="auto"/>
        <w:jc w:val="both"/>
        <w:rPr>
          <w:rFonts w:ascii="Times New Roman" w:hAnsi="Times New Roman"/>
          <w:sz w:val="24"/>
          <w:szCs w:val="24"/>
        </w:rPr>
      </w:pPr>
      <w:r>
        <w:rPr>
          <w:rFonts w:ascii="Times New Roman" w:hAnsi="Times New Roman"/>
          <w:sz w:val="24"/>
          <w:szCs w:val="24"/>
        </w:rPr>
        <w:t>Las Instituciones analizadas fueron:</w:t>
      </w:r>
    </w:p>
    <w:p w14:paraId="542EDDFD" w14:textId="77777777" w:rsidR="00F45AD2" w:rsidRDefault="00F45AD2" w:rsidP="00F45AD2">
      <w:pPr>
        <w:spacing w:line="240" w:lineRule="auto"/>
        <w:jc w:val="both"/>
        <w:rPr>
          <w:rFonts w:ascii="Times New Roman" w:hAnsi="Times New Roman"/>
          <w:sz w:val="24"/>
          <w:szCs w:val="24"/>
        </w:rPr>
      </w:pPr>
      <w:r>
        <w:rPr>
          <w:rFonts w:ascii="Times New Roman" w:hAnsi="Times New Roman"/>
          <w:sz w:val="24"/>
          <w:szCs w:val="24"/>
        </w:rPr>
        <w:t xml:space="preserve">Tabla 1: </w:t>
      </w:r>
      <w:proofErr w:type="spellStart"/>
      <w:r>
        <w:rPr>
          <w:rFonts w:ascii="Times New Roman" w:hAnsi="Times New Roman"/>
          <w:sz w:val="24"/>
          <w:szCs w:val="24"/>
        </w:rPr>
        <w:t>Insttituciones</w:t>
      </w:r>
      <w:proofErr w:type="spellEnd"/>
      <w:r>
        <w:rPr>
          <w:rFonts w:ascii="Times New Roman" w:hAnsi="Times New Roman"/>
          <w:sz w:val="24"/>
          <w:szCs w:val="24"/>
        </w:rPr>
        <w:t xml:space="preserve"> de educación superior que imparten Formación dual</w:t>
      </w:r>
    </w:p>
    <w:tbl>
      <w:tblPr>
        <w:tblStyle w:val="Tablaconcuadrcula"/>
        <w:tblW w:w="0" w:type="auto"/>
        <w:tblLook w:val="04A0" w:firstRow="1" w:lastRow="0" w:firstColumn="1" w:lastColumn="0" w:noHBand="0" w:noVBand="1"/>
      </w:tblPr>
      <w:tblGrid>
        <w:gridCol w:w="4530"/>
        <w:gridCol w:w="4530"/>
      </w:tblGrid>
      <w:tr w:rsidR="00F45AD2" w14:paraId="7182AB84" w14:textId="77777777" w:rsidTr="002A201F">
        <w:tc>
          <w:tcPr>
            <w:tcW w:w="4530" w:type="dxa"/>
            <w:shd w:val="clear" w:color="auto" w:fill="0070C0"/>
          </w:tcPr>
          <w:p w14:paraId="2507166B" w14:textId="77777777" w:rsidR="00F45AD2" w:rsidRPr="00135F08" w:rsidRDefault="00F45AD2" w:rsidP="002A201F">
            <w:pPr>
              <w:jc w:val="center"/>
              <w:rPr>
                <w:rFonts w:ascii="Times New Roman" w:hAnsi="Times New Roman"/>
                <w:color w:val="FFFFFF" w:themeColor="background1"/>
                <w:sz w:val="24"/>
                <w:szCs w:val="24"/>
              </w:rPr>
            </w:pPr>
            <w:r w:rsidRPr="00135F08">
              <w:rPr>
                <w:rFonts w:ascii="Times New Roman" w:hAnsi="Times New Roman"/>
                <w:color w:val="FFFFFF" w:themeColor="background1"/>
                <w:sz w:val="24"/>
                <w:szCs w:val="24"/>
              </w:rPr>
              <w:t>Institución</w:t>
            </w:r>
          </w:p>
        </w:tc>
        <w:tc>
          <w:tcPr>
            <w:tcW w:w="4530" w:type="dxa"/>
            <w:shd w:val="clear" w:color="auto" w:fill="0070C0"/>
          </w:tcPr>
          <w:p w14:paraId="1BF3C2BE" w14:textId="77777777" w:rsidR="00F45AD2" w:rsidRPr="00135F08" w:rsidRDefault="00F45AD2" w:rsidP="002A201F">
            <w:pPr>
              <w:jc w:val="center"/>
              <w:rPr>
                <w:rFonts w:ascii="Times New Roman" w:hAnsi="Times New Roman"/>
                <w:color w:val="FFFFFF" w:themeColor="background1"/>
                <w:sz w:val="24"/>
                <w:szCs w:val="24"/>
              </w:rPr>
            </w:pPr>
            <w:r w:rsidRPr="00135F08">
              <w:rPr>
                <w:rFonts w:ascii="Times New Roman" w:hAnsi="Times New Roman"/>
                <w:color w:val="FFFFFF" w:themeColor="background1"/>
                <w:sz w:val="24"/>
                <w:szCs w:val="24"/>
              </w:rPr>
              <w:t>Ciudad de ubicación</w:t>
            </w:r>
          </w:p>
        </w:tc>
      </w:tr>
      <w:tr w:rsidR="00F45AD2" w14:paraId="384A598F" w14:textId="77777777" w:rsidTr="002A201F">
        <w:tc>
          <w:tcPr>
            <w:tcW w:w="4530" w:type="dxa"/>
          </w:tcPr>
          <w:p w14:paraId="3CFAE582" w14:textId="77777777" w:rsidR="00F45AD2" w:rsidRDefault="00F45AD2" w:rsidP="002A201F">
            <w:pPr>
              <w:jc w:val="both"/>
              <w:rPr>
                <w:rFonts w:ascii="Times New Roman" w:hAnsi="Times New Roman"/>
                <w:sz w:val="24"/>
                <w:szCs w:val="24"/>
              </w:rPr>
            </w:pPr>
            <w:r>
              <w:rPr>
                <w:rFonts w:ascii="Times New Roman" w:hAnsi="Times New Roman"/>
                <w:sz w:val="24"/>
                <w:szCs w:val="24"/>
              </w:rPr>
              <w:t xml:space="preserve">Corporación Universitaria Alexander </w:t>
            </w:r>
            <w:proofErr w:type="spellStart"/>
            <w:r>
              <w:rPr>
                <w:rFonts w:ascii="Times New Roman" w:hAnsi="Times New Roman"/>
                <w:sz w:val="24"/>
                <w:szCs w:val="24"/>
              </w:rPr>
              <w:t>Von</w:t>
            </w:r>
            <w:proofErr w:type="spellEnd"/>
            <w:r>
              <w:rPr>
                <w:rFonts w:ascii="Times New Roman" w:hAnsi="Times New Roman"/>
                <w:sz w:val="24"/>
                <w:szCs w:val="24"/>
              </w:rPr>
              <w:t xml:space="preserve"> Humboldt</w:t>
            </w:r>
          </w:p>
        </w:tc>
        <w:tc>
          <w:tcPr>
            <w:tcW w:w="4530" w:type="dxa"/>
          </w:tcPr>
          <w:p w14:paraId="00437E21" w14:textId="77777777" w:rsidR="00F45AD2" w:rsidRDefault="00F45AD2" w:rsidP="002A201F">
            <w:pPr>
              <w:jc w:val="both"/>
              <w:rPr>
                <w:rFonts w:ascii="Times New Roman" w:hAnsi="Times New Roman"/>
                <w:sz w:val="24"/>
                <w:szCs w:val="24"/>
              </w:rPr>
            </w:pPr>
            <w:r>
              <w:rPr>
                <w:rFonts w:ascii="Times New Roman" w:hAnsi="Times New Roman"/>
                <w:sz w:val="24"/>
                <w:szCs w:val="24"/>
              </w:rPr>
              <w:t>Armenia</w:t>
            </w:r>
          </w:p>
        </w:tc>
      </w:tr>
      <w:tr w:rsidR="00F45AD2" w14:paraId="289453A2" w14:textId="77777777" w:rsidTr="002A201F">
        <w:tc>
          <w:tcPr>
            <w:tcW w:w="4530" w:type="dxa"/>
          </w:tcPr>
          <w:p w14:paraId="175A84D1" w14:textId="77777777" w:rsidR="00F45AD2" w:rsidRDefault="00F45AD2" w:rsidP="002A201F">
            <w:pPr>
              <w:jc w:val="both"/>
              <w:rPr>
                <w:rFonts w:ascii="Times New Roman" w:hAnsi="Times New Roman"/>
                <w:sz w:val="24"/>
                <w:szCs w:val="24"/>
              </w:rPr>
            </w:pPr>
            <w:r>
              <w:rPr>
                <w:rFonts w:ascii="Times New Roman" w:hAnsi="Times New Roman"/>
                <w:sz w:val="24"/>
                <w:szCs w:val="24"/>
              </w:rPr>
              <w:t>Universidad Autónoma de Occidente</w:t>
            </w:r>
          </w:p>
        </w:tc>
        <w:tc>
          <w:tcPr>
            <w:tcW w:w="4530" w:type="dxa"/>
          </w:tcPr>
          <w:p w14:paraId="06A5FAD4" w14:textId="77777777" w:rsidR="00F45AD2" w:rsidRDefault="00F45AD2" w:rsidP="002A201F">
            <w:pPr>
              <w:jc w:val="both"/>
              <w:rPr>
                <w:rFonts w:ascii="Times New Roman" w:hAnsi="Times New Roman"/>
                <w:sz w:val="24"/>
                <w:szCs w:val="24"/>
              </w:rPr>
            </w:pPr>
            <w:r>
              <w:rPr>
                <w:rFonts w:ascii="Times New Roman" w:hAnsi="Times New Roman"/>
                <w:sz w:val="24"/>
                <w:szCs w:val="24"/>
              </w:rPr>
              <w:t>Cali</w:t>
            </w:r>
          </w:p>
        </w:tc>
      </w:tr>
      <w:tr w:rsidR="00F45AD2" w14:paraId="5B7D58CC" w14:textId="77777777" w:rsidTr="002A201F">
        <w:tc>
          <w:tcPr>
            <w:tcW w:w="4530" w:type="dxa"/>
          </w:tcPr>
          <w:p w14:paraId="5D5945AB" w14:textId="77777777" w:rsidR="00F45AD2" w:rsidRDefault="00F45AD2" w:rsidP="002A201F">
            <w:pPr>
              <w:jc w:val="both"/>
              <w:rPr>
                <w:rFonts w:ascii="Times New Roman" w:hAnsi="Times New Roman"/>
                <w:sz w:val="24"/>
                <w:szCs w:val="24"/>
              </w:rPr>
            </w:pPr>
            <w:r>
              <w:rPr>
                <w:rFonts w:ascii="Times New Roman" w:hAnsi="Times New Roman"/>
                <w:sz w:val="24"/>
                <w:szCs w:val="24"/>
              </w:rPr>
              <w:t>Universidad Autónoma de Bucaramanga</w:t>
            </w:r>
          </w:p>
        </w:tc>
        <w:tc>
          <w:tcPr>
            <w:tcW w:w="4530" w:type="dxa"/>
          </w:tcPr>
          <w:p w14:paraId="44D28677" w14:textId="77777777" w:rsidR="00F45AD2" w:rsidRDefault="00F45AD2" w:rsidP="002A201F">
            <w:pPr>
              <w:jc w:val="both"/>
              <w:rPr>
                <w:rFonts w:ascii="Times New Roman" w:hAnsi="Times New Roman"/>
                <w:sz w:val="24"/>
                <w:szCs w:val="24"/>
              </w:rPr>
            </w:pPr>
            <w:r>
              <w:rPr>
                <w:rFonts w:ascii="Times New Roman" w:hAnsi="Times New Roman"/>
                <w:sz w:val="24"/>
                <w:szCs w:val="24"/>
              </w:rPr>
              <w:t>Bucaramanga</w:t>
            </w:r>
          </w:p>
        </w:tc>
      </w:tr>
      <w:tr w:rsidR="00F45AD2" w14:paraId="622E4164" w14:textId="77777777" w:rsidTr="002A201F">
        <w:tc>
          <w:tcPr>
            <w:tcW w:w="4530" w:type="dxa"/>
          </w:tcPr>
          <w:p w14:paraId="72C47494" w14:textId="77777777" w:rsidR="00F45AD2" w:rsidRDefault="00F45AD2" w:rsidP="002A201F">
            <w:pPr>
              <w:jc w:val="both"/>
              <w:rPr>
                <w:rFonts w:ascii="Times New Roman" w:hAnsi="Times New Roman"/>
                <w:sz w:val="24"/>
                <w:szCs w:val="24"/>
              </w:rPr>
            </w:pPr>
            <w:proofErr w:type="spellStart"/>
            <w:r>
              <w:rPr>
                <w:rFonts w:ascii="Times New Roman" w:hAnsi="Times New Roman"/>
                <w:sz w:val="24"/>
                <w:szCs w:val="24"/>
              </w:rPr>
              <w:t>Uniempresarial</w:t>
            </w:r>
            <w:proofErr w:type="spellEnd"/>
          </w:p>
        </w:tc>
        <w:tc>
          <w:tcPr>
            <w:tcW w:w="4530" w:type="dxa"/>
          </w:tcPr>
          <w:p w14:paraId="75B9563C" w14:textId="77777777" w:rsidR="00F45AD2" w:rsidRDefault="00F45AD2" w:rsidP="002A201F">
            <w:pPr>
              <w:jc w:val="both"/>
              <w:rPr>
                <w:rFonts w:ascii="Times New Roman" w:hAnsi="Times New Roman"/>
                <w:sz w:val="24"/>
                <w:szCs w:val="24"/>
              </w:rPr>
            </w:pPr>
            <w:r>
              <w:rPr>
                <w:rFonts w:ascii="Times New Roman" w:hAnsi="Times New Roman"/>
                <w:sz w:val="24"/>
                <w:szCs w:val="24"/>
              </w:rPr>
              <w:t>Bogotá</w:t>
            </w:r>
          </w:p>
        </w:tc>
      </w:tr>
    </w:tbl>
    <w:p w14:paraId="238F9470" w14:textId="77777777" w:rsidR="00F45AD2" w:rsidRDefault="00F45AD2" w:rsidP="00F45AD2">
      <w:pPr>
        <w:spacing w:line="240" w:lineRule="auto"/>
        <w:jc w:val="both"/>
        <w:rPr>
          <w:rFonts w:ascii="Times New Roman" w:hAnsi="Times New Roman"/>
          <w:sz w:val="24"/>
          <w:szCs w:val="24"/>
        </w:rPr>
      </w:pPr>
    </w:p>
    <w:p w14:paraId="563E50DF" w14:textId="77777777" w:rsidR="00F45AD2" w:rsidRPr="00F3164E" w:rsidRDefault="00F45AD2" w:rsidP="00F45AD2">
      <w:pPr>
        <w:spacing w:line="240" w:lineRule="auto"/>
        <w:jc w:val="both"/>
        <w:rPr>
          <w:rFonts w:ascii="Times New Roman" w:hAnsi="Times New Roman"/>
          <w:sz w:val="24"/>
          <w:szCs w:val="24"/>
        </w:rPr>
      </w:pPr>
      <w:r w:rsidRPr="00F3164E">
        <w:rPr>
          <w:rFonts w:ascii="Times New Roman" w:hAnsi="Times New Roman"/>
          <w:sz w:val="24"/>
          <w:szCs w:val="24"/>
        </w:rPr>
        <w:t>Como informantes se consultaron a un total de 149 personas:</w:t>
      </w:r>
    </w:p>
    <w:p w14:paraId="2FB16017" w14:textId="77777777" w:rsidR="00F45AD2" w:rsidRPr="00F3164E" w:rsidRDefault="00F45AD2" w:rsidP="00F45AD2">
      <w:pPr>
        <w:pStyle w:val="Prrafodelista"/>
        <w:numPr>
          <w:ilvl w:val="0"/>
          <w:numId w:val="13"/>
        </w:numPr>
        <w:spacing w:after="0" w:line="240" w:lineRule="auto"/>
        <w:jc w:val="both"/>
        <w:rPr>
          <w:rFonts w:ascii="Times New Roman" w:hAnsi="Times New Roman"/>
          <w:sz w:val="24"/>
          <w:szCs w:val="24"/>
        </w:rPr>
      </w:pPr>
      <w:r w:rsidRPr="00F3164E">
        <w:rPr>
          <w:rFonts w:ascii="Times New Roman" w:hAnsi="Times New Roman"/>
          <w:sz w:val="24"/>
          <w:szCs w:val="24"/>
        </w:rPr>
        <w:t>Estudiantes</w:t>
      </w:r>
    </w:p>
    <w:p w14:paraId="42C02D78" w14:textId="77777777" w:rsidR="00F45AD2" w:rsidRPr="00F3164E" w:rsidRDefault="00F45AD2" w:rsidP="00F45AD2">
      <w:pPr>
        <w:pStyle w:val="Prrafodelista"/>
        <w:numPr>
          <w:ilvl w:val="0"/>
          <w:numId w:val="13"/>
        </w:numPr>
        <w:spacing w:after="0" w:line="240" w:lineRule="auto"/>
        <w:jc w:val="both"/>
        <w:rPr>
          <w:rFonts w:ascii="Times New Roman" w:hAnsi="Times New Roman"/>
          <w:sz w:val="24"/>
          <w:szCs w:val="24"/>
        </w:rPr>
      </w:pPr>
      <w:r w:rsidRPr="00F3164E">
        <w:rPr>
          <w:rFonts w:ascii="Times New Roman" w:hAnsi="Times New Roman"/>
          <w:sz w:val="24"/>
          <w:szCs w:val="24"/>
        </w:rPr>
        <w:t>Docentes académicos y empresariales</w:t>
      </w:r>
    </w:p>
    <w:p w14:paraId="619D29A3" w14:textId="77777777" w:rsidR="00F45AD2" w:rsidRPr="00F3164E" w:rsidRDefault="00F45AD2" w:rsidP="00F45AD2">
      <w:pPr>
        <w:pStyle w:val="Prrafodelista"/>
        <w:numPr>
          <w:ilvl w:val="0"/>
          <w:numId w:val="13"/>
        </w:numPr>
        <w:spacing w:after="0" w:line="240" w:lineRule="auto"/>
        <w:jc w:val="both"/>
        <w:rPr>
          <w:rFonts w:ascii="Times New Roman" w:hAnsi="Times New Roman"/>
          <w:sz w:val="24"/>
          <w:szCs w:val="24"/>
        </w:rPr>
      </w:pPr>
      <w:r w:rsidRPr="00F3164E">
        <w:rPr>
          <w:rFonts w:ascii="Times New Roman" w:hAnsi="Times New Roman"/>
          <w:sz w:val="24"/>
          <w:szCs w:val="24"/>
        </w:rPr>
        <w:t>Empresarios</w:t>
      </w:r>
    </w:p>
    <w:p w14:paraId="65533245" w14:textId="77777777" w:rsidR="00F45AD2" w:rsidRPr="00F3164E" w:rsidRDefault="00F45AD2" w:rsidP="00F45AD2">
      <w:pPr>
        <w:pStyle w:val="Prrafodelista"/>
        <w:numPr>
          <w:ilvl w:val="0"/>
          <w:numId w:val="13"/>
        </w:numPr>
        <w:spacing w:after="0" w:line="240" w:lineRule="auto"/>
        <w:jc w:val="both"/>
        <w:rPr>
          <w:rFonts w:ascii="Times New Roman" w:hAnsi="Times New Roman"/>
          <w:sz w:val="24"/>
          <w:szCs w:val="24"/>
        </w:rPr>
      </w:pPr>
      <w:r w:rsidRPr="00F3164E">
        <w:rPr>
          <w:rFonts w:ascii="Times New Roman" w:hAnsi="Times New Roman"/>
          <w:sz w:val="24"/>
          <w:szCs w:val="24"/>
        </w:rPr>
        <w:t>Tomadores de decisión</w:t>
      </w:r>
    </w:p>
    <w:p w14:paraId="43BC7C06" w14:textId="77777777" w:rsidR="00F45AD2" w:rsidRPr="00F3164E" w:rsidRDefault="00F45AD2" w:rsidP="00F45AD2">
      <w:pPr>
        <w:spacing w:line="240" w:lineRule="auto"/>
        <w:jc w:val="both"/>
        <w:rPr>
          <w:rFonts w:ascii="Times New Roman" w:hAnsi="Times New Roman"/>
          <w:sz w:val="24"/>
          <w:szCs w:val="24"/>
        </w:rPr>
      </w:pPr>
      <w:r w:rsidRPr="00F3164E">
        <w:rPr>
          <w:rFonts w:ascii="Times New Roman" w:hAnsi="Times New Roman"/>
          <w:sz w:val="24"/>
          <w:szCs w:val="24"/>
        </w:rPr>
        <w:t>Las variables elegidas fueron:</w:t>
      </w:r>
    </w:p>
    <w:p w14:paraId="30EECECB" w14:textId="77777777" w:rsidR="00F45AD2" w:rsidRPr="00F3164E" w:rsidRDefault="00F45AD2" w:rsidP="00F45AD2">
      <w:pPr>
        <w:pStyle w:val="Prrafodelista"/>
        <w:numPr>
          <w:ilvl w:val="0"/>
          <w:numId w:val="14"/>
        </w:numPr>
        <w:spacing w:after="0" w:line="240" w:lineRule="auto"/>
        <w:jc w:val="both"/>
        <w:rPr>
          <w:rFonts w:ascii="Times New Roman" w:hAnsi="Times New Roman"/>
          <w:sz w:val="24"/>
          <w:szCs w:val="24"/>
        </w:rPr>
      </w:pPr>
      <w:r w:rsidRPr="00F3164E">
        <w:rPr>
          <w:rFonts w:ascii="Times New Roman" w:hAnsi="Times New Roman"/>
          <w:sz w:val="24"/>
          <w:szCs w:val="24"/>
        </w:rPr>
        <w:t>Gestión de conocimiento (Nonaka y Konno,1998)</w:t>
      </w:r>
    </w:p>
    <w:p w14:paraId="548008B4" w14:textId="77777777" w:rsidR="00F45AD2" w:rsidRPr="00F3164E" w:rsidRDefault="00F45AD2" w:rsidP="00F45AD2">
      <w:pPr>
        <w:pStyle w:val="Prrafodelista"/>
        <w:numPr>
          <w:ilvl w:val="0"/>
          <w:numId w:val="14"/>
        </w:numPr>
        <w:spacing w:after="0" w:line="240" w:lineRule="auto"/>
        <w:jc w:val="both"/>
        <w:rPr>
          <w:rFonts w:ascii="Times New Roman" w:hAnsi="Times New Roman"/>
          <w:sz w:val="24"/>
          <w:szCs w:val="24"/>
        </w:rPr>
      </w:pPr>
      <w:r w:rsidRPr="00F3164E">
        <w:rPr>
          <w:rFonts w:ascii="Times New Roman" w:hAnsi="Times New Roman"/>
          <w:sz w:val="24"/>
          <w:szCs w:val="24"/>
        </w:rPr>
        <w:t>Generación o creación de conocimiento (Nonaka &amp; Takeuchi, 1995)</w:t>
      </w:r>
    </w:p>
    <w:p w14:paraId="4EDABBC1" w14:textId="77777777" w:rsidR="00F45AD2" w:rsidRPr="00F3164E" w:rsidRDefault="00F45AD2" w:rsidP="00F45AD2">
      <w:pPr>
        <w:pStyle w:val="Prrafodelista"/>
        <w:numPr>
          <w:ilvl w:val="0"/>
          <w:numId w:val="14"/>
        </w:numPr>
        <w:spacing w:after="0" w:line="240" w:lineRule="auto"/>
        <w:jc w:val="both"/>
        <w:rPr>
          <w:rFonts w:ascii="Times New Roman" w:hAnsi="Times New Roman"/>
          <w:sz w:val="24"/>
          <w:szCs w:val="24"/>
        </w:rPr>
      </w:pPr>
      <w:r w:rsidRPr="00F3164E">
        <w:rPr>
          <w:rFonts w:ascii="Times New Roman" w:hAnsi="Times New Roman"/>
          <w:sz w:val="24"/>
          <w:szCs w:val="24"/>
        </w:rPr>
        <w:t xml:space="preserve">Transferencia de conocimiento (Gupta y </w:t>
      </w:r>
      <w:proofErr w:type="spellStart"/>
      <w:r w:rsidRPr="00F3164E">
        <w:rPr>
          <w:rFonts w:ascii="Times New Roman" w:hAnsi="Times New Roman"/>
          <w:sz w:val="24"/>
          <w:szCs w:val="24"/>
        </w:rPr>
        <w:t>Govindarajan</w:t>
      </w:r>
      <w:proofErr w:type="spellEnd"/>
      <w:r w:rsidRPr="00F3164E">
        <w:rPr>
          <w:rFonts w:ascii="Times New Roman" w:hAnsi="Times New Roman"/>
          <w:sz w:val="24"/>
          <w:szCs w:val="24"/>
        </w:rPr>
        <w:t>, 2000)</w:t>
      </w:r>
    </w:p>
    <w:p w14:paraId="3861B733" w14:textId="77777777" w:rsidR="00F45AD2" w:rsidRPr="00F3164E" w:rsidRDefault="00F45AD2" w:rsidP="00F45AD2">
      <w:pPr>
        <w:pStyle w:val="Prrafodelista"/>
        <w:spacing w:after="0" w:line="240" w:lineRule="auto"/>
        <w:jc w:val="both"/>
        <w:rPr>
          <w:rFonts w:ascii="Times New Roman" w:hAnsi="Times New Roman"/>
          <w:sz w:val="24"/>
          <w:szCs w:val="24"/>
        </w:rPr>
      </w:pPr>
    </w:p>
    <w:p w14:paraId="17BE026F" w14:textId="77777777" w:rsidR="00F45AD2" w:rsidRPr="00F3164E" w:rsidRDefault="00F45AD2" w:rsidP="00F45AD2">
      <w:pPr>
        <w:spacing w:line="240" w:lineRule="auto"/>
        <w:jc w:val="both"/>
        <w:rPr>
          <w:rFonts w:ascii="Times New Roman" w:hAnsi="Times New Roman"/>
          <w:sz w:val="24"/>
          <w:szCs w:val="24"/>
        </w:rPr>
      </w:pPr>
      <w:r w:rsidRPr="00F3164E">
        <w:rPr>
          <w:rFonts w:ascii="Times New Roman" w:hAnsi="Times New Roman"/>
          <w:sz w:val="24"/>
          <w:szCs w:val="24"/>
        </w:rPr>
        <w:t>Para el análisis de los datos se tomaron elementos de la teoría fundamentada a través de la aplicación del Método de Comparación Constante (MCC) a partir de la codificación y categorización de los resultados.</w:t>
      </w:r>
    </w:p>
    <w:p w14:paraId="6F702D2B" w14:textId="77777777" w:rsidR="00F45AD2" w:rsidRDefault="00F45AD2" w:rsidP="00F45AD2">
      <w:pPr>
        <w:spacing w:line="240" w:lineRule="auto"/>
        <w:jc w:val="both"/>
        <w:rPr>
          <w:rFonts w:ascii="Times New Roman" w:hAnsi="Times New Roman"/>
          <w:sz w:val="24"/>
          <w:szCs w:val="24"/>
        </w:rPr>
      </w:pPr>
    </w:p>
    <w:p w14:paraId="3D81CA73" w14:textId="77777777" w:rsidR="00F45AD2" w:rsidRDefault="00F45AD2" w:rsidP="00F45AD2">
      <w:pPr>
        <w:spacing w:line="240" w:lineRule="auto"/>
        <w:jc w:val="both"/>
        <w:rPr>
          <w:rFonts w:ascii="Times New Roman" w:hAnsi="Times New Roman"/>
          <w:sz w:val="24"/>
          <w:szCs w:val="24"/>
        </w:rPr>
      </w:pPr>
    </w:p>
    <w:p w14:paraId="3740731F" w14:textId="77777777" w:rsidR="00F45AD2" w:rsidRDefault="00F45AD2" w:rsidP="00F45AD2">
      <w:pPr>
        <w:spacing w:line="240" w:lineRule="auto"/>
        <w:jc w:val="both"/>
        <w:rPr>
          <w:rFonts w:ascii="Times New Roman" w:hAnsi="Times New Roman"/>
          <w:sz w:val="24"/>
          <w:szCs w:val="24"/>
        </w:rPr>
      </w:pPr>
    </w:p>
    <w:p w14:paraId="3E8D41D5" w14:textId="77777777" w:rsidR="00F45AD2" w:rsidRPr="00F3164E" w:rsidRDefault="00F45AD2" w:rsidP="00F45AD2">
      <w:pPr>
        <w:spacing w:line="240" w:lineRule="auto"/>
        <w:jc w:val="both"/>
        <w:rPr>
          <w:rFonts w:ascii="Times New Roman" w:hAnsi="Times New Roman"/>
          <w:sz w:val="24"/>
          <w:szCs w:val="24"/>
        </w:rPr>
      </w:pPr>
    </w:p>
    <w:p w14:paraId="4C234C7D" w14:textId="77777777" w:rsidR="00F45AD2" w:rsidRPr="00F3164E" w:rsidRDefault="00F45AD2" w:rsidP="00F45AD2">
      <w:pPr>
        <w:spacing w:line="240" w:lineRule="auto"/>
        <w:jc w:val="both"/>
        <w:rPr>
          <w:rFonts w:ascii="Times New Roman" w:hAnsi="Times New Roman"/>
          <w:b/>
          <w:sz w:val="26"/>
          <w:szCs w:val="26"/>
        </w:rPr>
      </w:pPr>
      <w:r w:rsidRPr="00F3164E">
        <w:rPr>
          <w:rFonts w:ascii="Times New Roman" w:hAnsi="Times New Roman"/>
          <w:b/>
          <w:i/>
          <w:sz w:val="26"/>
          <w:szCs w:val="26"/>
        </w:rPr>
        <w:lastRenderedPageBreak/>
        <w:t xml:space="preserve">1.4. Resultados </w:t>
      </w:r>
    </w:p>
    <w:p w14:paraId="013A3586" w14:textId="77777777" w:rsidR="00F45AD2" w:rsidRDefault="00F45AD2" w:rsidP="00F45AD2">
      <w:pPr>
        <w:jc w:val="both"/>
        <w:rPr>
          <w:rFonts w:ascii="Times New Roman" w:hAnsi="Times New Roman"/>
          <w:sz w:val="24"/>
        </w:rPr>
      </w:pPr>
      <w:r>
        <w:rPr>
          <w:rFonts w:ascii="Times New Roman" w:hAnsi="Times New Roman"/>
          <w:sz w:val="24"/>
        </w:rPr>
        <w:t xml:space="preserve">El proceso de entrevistas y grupos focales fue realizado con los 149 informantes descritos anteriormente. </w:t>
      </w:r>
    </w:p>
    <w:p w14:paraId="31240E8D" w14:textId="77777777" w:rsidR="00F45AD2" w:rsidRPr="00F3164E" w:rsidRDefault="00F45AD2" w:rsidP="00F45AD2">
      <w:pPr>
        <w:jc w:val="both"/>
        <w:rPr>
          <w:rFonts w:ascii="Times New Roman" w:hAnsi="Times New Roman"/>
          <w:sz w:val="24"/>
        </w:rPr>
      </w:pPr>
      <w:r w:rsidRPr="00F3164E">
        <w:rPr>
          <w:rFonts w:ascii="Times New Roman" w:hAnsi="Times New Roman"/>
          <w:sz w:val="24"/>
        </w:rPr>
        <w:t>Los resultados del proceso de categorización y codificación dieron como resultado 492 Unidades de Conocimiento, discriminadas como muestra la tabla 1.</w:t>
      </w:r>
    </w:p>
    <w:p w14:paraId="4F4F0BE4" w14:textId="77777777" w:rsidR="00F45AD2" w:rsidRPr="00F3164E" w:rsidRDefault="00F45AD2" w:rsidP="00F45AD2">
      <w:pPr>
        <w:jc w:val="center"/>
        <w:rPr>
          <w:rFonts w:ascii="Times New Roman" w:hAnsi="Times New Roman"/>
          <w:sz w:val="24"/>
        </w:rPr>
      </w:pPr>
      <w:r w:rsidRPr="00F3164E">
        <w:rPr>
          <w:rFonts w:ascii="Times New Roman" w:hAnsi="Times New Roman"/>
          <w:sz w:val="24"/>
        </w:rPr>
        <w:t xml:space="preserve">Tabla </w:t>
      </w:r>
      <w:r>
        <w:rPr>
          <w:rFonts w:ascii="Times New Roman" w:hAnsi="Times New Roman"/>
          <w:sz w:val="24"/>
        </w:rPr>
        <w:t>2</w:t>
      </w:r>
      <w:r w:rsidRPr="00F3164E">
        <w:rPr>
          <w:rFonts w:ascii="Times New Roman" w:hAnsi="Times New Roman"/>
          <w:sz w:val="24"/>
        </w:rPr>
        <w:t>. Unidades de significado</w:t>
      </w:r>
    </w:p>
    <w:tbl>
      <w:tblPr>
        <w:tblStyle w:val="Tablaconcuadrcula4"/>
        <w:tblW w:w="7140" w:type="dxa"/>
        <w:tblInd w:w="958" w:type="dxa"/>
        <w:tblLook w:val="04A0" w:firstRow="1" w:lastRow="0" w:firstColumn="1" w:lastColumn="0" w:noHBand="0" w:noVBand="1"/>
      </w:tblPr>
      <w:tblGrid>
        <w:gridCol w:w="3880"/>
        <w:gridCol w:w="3260"/>
      </w:tblGrid>
      <w:tr w:rsidR="00F45AD2" w:rsidRPr="00F3164E" w14:paraId="4E30742A" w14:textId="77777777" w:rsidTr="002A201F">
        <w:trPr>
          <w:trHeight w:val="20"/>
        </w:trPr>
        <w:tc>
          <w:tcPr>
            <w:tcW w:w="7140" w:type="dxa"/>
            <w:gridSpan w:val="2"/>
            <w:hideMark/>
          </w:tcPr>
          <w:p w14:paraId="268818E9" w14:textId="77777777" w:rsidR="00F45AD2" w:rsidRPr="00F3164E" w:rsidRDefault="00F45AD2" w:rsidP="002A201F">
            <w:pPr>
              <w:jc w:val="center"/>
              <w:rPr>
                <w:rFonts w:ascii="Calibri" w:hAnsi="Calibri"/>
                <w:b/>
                <w:bCs/>
                <w:color w:val="000000" w:themeColor="text1"/>
                <w:szCs w:val="20"/>
                <w:lang w:val="es-CO"/>
              </w:rPr>
            </w:pPr>
            <w:r w:rsidRPr="00F3164E">
              <w:rPr>
                <w:rFonts w:ascii="Calibri" w:hAnsi="Calibri"/>
                <w:b/>
                <w:bCs/>
                <w:color w:val="000000" w:themeColor="text1"/>
                <w:szCs w:val="20"/>
                <w:lang w:val="es-CO"/>
              </w:rPr>
              <w:t>unidades de significado</w:t>
            </w:r>
          </w:p>
        </w:tc>
      </w:tr>
      <w:tr w:rsidR="00F45AD2" w:rsidRPr="00F3164E" w14:paraId="3A7DC384" w14:textId="77777777" w:rsidTr="002A201F">
        <w:trPr>
          <w:trHeight w:val="20"/>
        </w:trPr>
        <w:tc>
          <w:tcPr>
            <w:tcW w:w="3880" w:type="dxa"/>
            <w:hideMark/>
          </w:tcPr>
          <w:p w14:paraId="33E56113" w14:textId="77777777" w:rsidR="00F45AD2" w:rsidRPr="00F3164E" w:rsidRDefault="00F45AD2" w:rsidP="002A201F">
            <w:pPr>
              <w:rPr>
                <w:rFonts w:ascii="Calibri" w:hAnsi="Calibri"/>
                <w:bCs/>
                <w:color w:val="000000" w:themeColor="text1"/>
                <w:szCs w:val="20"/>
                <w:lang w:val="es-CO"/>
              </w:rPr>
            </w:pPr>
            <w:r w:rsidRPr="00F3164E">
              <w:rPr>
                <w:rFonts w:ascii="Calibri" w:hAnsi="Calibri"/>
                <w:bCs/>
                <w:color w:val="000000" w:themeColor="text1"/>
                <w:szCs w:val="20"/>
                <w:lang w:val="es-CO"/>
              </w:rPr>
              <w:t>Gestión de conocimiento</w:t>
            </w:r>
          </w:p>
        </w:tc>
        <w:tc>
          <w:tcPr>
            <w:tcW w:w="3260" w:type="dxa"/>
          </w:tcPr>
          <w:p w14:paraId="01C9EC60" w14:textId="77777777" w:rsidR="00F45AD2" w:rsidRPr="00F3164E" w:rsidRDefault="00F45AD2" w:rsidP="002A201F">
            <w:pPr>
              <w:jc w:val="right"/>
              <w:rPr>
                <w:rFonts w:ascii="Calibri" w:hAnsi="Calibri"/>
                <w:bCs/>
                <w:color w:val="000000" w:themeColor="text1"/>
                <w:szCs w:val="20"/>
                <w:lang w:val="es-CO"/>
              </w:rPr>
            </w:pPr>
            <w:r w:rsidRPr="00F3164E">
              <w:rPr>
                <w:rFonts w:ascii="Calibri" w:hAnsi="Calibri"/>
                <w:bCs/>
                <w:color w:val="000000" w:themeColor="text1"/>
                <w:szCs w:val="20"/>
                <w:lang w:val="es-CO"/>
              </w:rPr>
              <w:t>102</w:t>
            </w:r>
          </w:p>
        </w:tc>
      </w:tr>
      <w:tr w:rsidR="00F45AD2" w:rsidRPr="00F3164E" w14:paraId="55931782" w14:textId="77777777" w:rsidTr="002A201F">
        <w:trPr>
          <w:trHeight w:val="20"/>
        </w:trPr>
        <w:tc>
          <w:tcPr>
            <w:tcW w:w="3880" w:type="dxa"/>
            <w:hideMark/>
          </w:tcPr>
          <w:p w14:paraId="05C271FB" w14:textId="77777777" w:rsidR="00F45AD2" w:rsidRPr="00F3164E" w:rsidRDefault="00F45AD2" w:rsidP="002A201F">
            <w:pPr>
              <w:rPr>
                <w:rFonts w:ascii="Calibri" w:hAnsi="Calibri"/>
                <w:bCs/>
                <w:color w:val="000000" w:themeColor="text1"/>
                <w:szCs w:val="20"/>
                <w:lang w:val="es-CO"/>
              </w:rPr>
            </w:pPr>
            <w:r w:rsidRPr="00F3164E">
              <w:rPr>
                <w:rFonts w:ascii="Calibri" w:hAnsi="Calibri"/>
                <w:bCs/>
                <w:color w:val="000000" w:themeColor="text1"/>
                <w:szCs w:val="20"/>
                <w:lang w:val="es-CO"/>
              </w:rPr>
              <w:t>Generación de conocimiento</w:t>
            </w:r>
          </w:p>
        </w:tc>
        <w:tc>
          <w:tcPr>
            <w:tcW w:w="3260" w:type="dxa"/>
            <w:hideMark/>
          </w:tcPr>
          <w:p w14:paraId="0F9B5831" w14:textId="77777777" w:rsidR="00F45AD2" w:rsidRPr="00F3164E" w:rsidRDefault="00F45AD2" w:rsidP="002A201F">
            <w:pPr>
              <w:jc w:val="right"/>
              <w:rPr>
                <w:rFonts w:ascii="Calibri" w:hAnsi="Calibri"/>
                <w:bCs/>
                <w:color w:val="000000" w:themeColor="text1"/>
                <w:szCs w:val="20"/>
                <w:lang w:val="es-CO"/>
              </w:rPr>
            </w:pPr>
            <w:r w:rsidRPr="00F3164E">
              <w:rPr>
                <w:rFonts w:ascii="Calibri" w:hAnsi="Calibri"/>
                <w:bCs/>
                <w:color w:val="000000" w:themeColor="text1"/>
                <w:szCs w:val="20"/>
                <w:lang w:val="es-CO"/>
              </w:rPr>
              <w:t>189</w:t>
            </w:r>
          </w:p>
        </w:tc>
      </w:tr>
      <w:tr w:rsidR="00F45AD2" w:rsidRPr="00F3164E" w14:paraId="5E9D5ABB" w14:textId="77777777" w:rsidTr="002A201F">
        <w:trPr>
          <w:trHeight w:val="20"/>
        </w:trPr>
        <w:tc>
          <w:tcPr>
            <w:tcW w:w="3880" w:type="dxa"/>
            <w:hideMark/>
          </w:tcPr>
          <w:p w14:paraId="06F9A98D" w14:textId="77777777" w:rsidR="00F45AD2" w:rsidRPr="00F3164E" w:rsidRDefault="00F45AD2" w:rsidP="002A201F">
            <w:pPr>
              <w:rPr>
                <w:rFonts w:ascii="Calibri" w:hAnsi="Calibri"/>
                <w:bCs/>
                <w:color w:val="000000" w:themeColor="text1"/>
                <w:szCs w:val="20"/>
                <w:lang w:val="es-CO"/>
              </w:rPr>
            </w:pPr>
            <w:r w:rsidRPr="00F3164E">
              <w:rPr>
                <w:rFonts w:ascii="Calibri" w:hAnsi="Calibri"/>
                <w:bCs/>
                <w:color w:val="000000" w:themeColor="text1"/>
                <w:szCs w:val="20"/>
                <w:lang w:val="es-CO"/>
              </w:rPr>
              <w:t>Transferencia de conocimiento</w:t>
            </w:r>
          </w:p>
        </w:tc>
        <w:tc>
          <w:tcPr>
            <w:tcW w:w="3260" w:type="dxa"/>
            <w:hideMark/>
          </w:tcPr>
          <w:p w14:paraId="32EA391A" w14:textId="77777777" w:rsidR="00F45AD2" w:rsidRPr="00F3164E" w:rsidRDefault="00F45AD2" w:rsidP="002A201F">
            <w:pPr>
              <w:jc w:val="right"/>
              <w:rPr>
                <w:rFonts w:ascii="Calibri" w:hAnsi="Calibri"/>
                <w:bCs/>
                <w:color w:val="000000" w:themeColor="text1"/>
                <w:szCs w:val="20"/>
                <w:lang w:val="es-CO"/>
              </w:rPr>
            </w:pPr>
            <w:r w:rsidRPr="00F3164E">
              <w:rPr>
                <w:rFonts w:ascii="Calibri" w:hAnsi="Calibri"/>
                <w:bCs/>
                <w:color w:val="000000" w:themeColor="text1"/>
                <w:szCs w:val="20"/>
                <w:lang w:val="es-CO"/>
              </w:rPr>
              <w:t>201</w:t>
            </w:r>
          </w:p>
        </w:tc>
      </w:tr>
    </w:tbl>
    <w:p w14:paraId="55AEB24A" w14:textId="77777777" w:rsidR="00F45AD2" w:rsidRDefault="00F45AD2" w:rsidP="00F45AD2">
      <w:pPr>
        <w:jc w:val="both"/>
        <w:rPr>
          <w:rFonts w:ascii="Times New Roman" w:hAnsi="Times New Roman"/>
          <w:sz w:val="24"/>
        </w:rPr>
      </w:pPr>
    </w:p>
    <w:p w14:paraId="29FAB27A" w14:textId="77777777" w:rsidR="00F45AD2" w:rsidRDefault="00F45AD2" w:rsidP="00F45AD2">
      <w:pPr>
        <w:jc w:val="both"/>
        <w:rPr>
          <w:rFonts w:ascii="Times New Roman" w:hAnsi="Times New Roman"/>
          <w:sz w:val="24"/>
        </w:rPr>
      </w:pPr>
      <w:r>
        <w:rPr>
          <w:rFonts w:ascii="Times New Roman" w:hAnsi="Times New Roman"/>
          <w:sz w:val="24"/>
        </w:rPr>
        <w:t>Las unidades de significado fueron extraídas de las entrevistas y grupos focales, a continuación, se describen algunas de ellas</w:t>
      </w:r>
    </w:p>
    <w:p w14:paraId="119DB3E3" w14:textId="77777777" w:rsidR="00F45AD2" w:rsidRDefault="00F45AD2" w:rsidP="00F45AD2">
      <w:pPr>
        <w:jc w:val="both"/>
        <w:rPr>
          <w:rFonts w:ascii="Times New Roman" w:hAnsi="Times New Roman"/>
          <w:sz w:val="24"/>
        </w:rPr>
      </w:pPr>
      <w:r>
        <w:rPr>
          <w:rFonts w:ascii="Times New Roman" w:hAnsi="Times New Roman"/>
          <w:sz w:val="24"/>
        </w:rPr>
        <w:t>a. Referente a la gestión del conocimiento:</w:t>
      </w:r>
    </w:p>
    <w:p w14:paraId="6A0ABC77" w14:textId="367E05C6" w:rsidR="00F45AD2" w:rsidRDefault="00F45AD2" w:rsidP="00F45AD2">
      <w:pPr>
        <w:jc w:val="both"/>
        <w:rPr>
          <w:rFonts w:ascii="Times New Roman" w:hAnsi="Times New Roman"/>
          <w:sz w:val="24"/>
        </w:rPr>
      </w:pPr>
      <w:r>
        <w:rPr>
          <w:rFonts w:ascii="Times New Roman" w:hAnsi="Times New Roman"/>
          <w:sz w:val="24"/>
        </w:rPr>
        <w:t xml:space="preserve">Las unidades de significado hacen referencia a la </w:t>
      </w:r>
      <w:r>
        <w:rPr>
          <w:rFonts w:ascii="Times New Roman" w:hAnsi="Times New Roman"/>
          <w:sz w:val="24"/>
        </w:rPr>
        <w:t>pregunta</w:t>
      </w:r>
      <w:r w:rsidRPr="008E6BB5">
        <w:rPr>
          <w:rFonts w:ascii="Times New Roman" w:hAnsi="Times New Roman"/>
          <w:sz w:val="24"/>
        </w:rPr>
        <w:t xml:space="preserve"> ¿</w:t>
      </w:r>
      <w:r>
        <w:rPr>
          <w:rFonts w:ascii="Times New Roman" w:hAnsi="Times New Roman"/>
          <w:sz w:val="24"/>
        </w:rPr>
        <w:t>Qué</w:t>
      </w:r>
      <w:r w:rsidRPr="008E6BB5">
        <w:rPr>
          <w:rFonts w:ascii="Times New Roman" w:hAnsi="Times New Roman"/>
          <w:sz w:val="24"/>
        </w:rPr>
        <w:t xml:space="preserve"> </w:t>
      </w:r>
      <w:proofErr w:type="gramStart"/>
      <w:r w:rsidRPr="008E6BB5">
        <w:rPr>
          <w:rFonts w:ascii="Times New Roman" w:hAnsi="Times New Roman"/>
          <w:sz w:val="24"/>
        </w:rPr>
        <w:t>procesos  generan</w:t>
      </w:r>
      <w:proofErr w:type="gramEnd"/>
      <w:r w:rsidRPr="008E6BB5">
        <w:rPr>
          <w:rFonts w:ascii="Times New Roman" w:hAnsi="Times New Roman"/>
          <w:sz w:val="24"/>
        </w:rPr>
        <w:t xml:space="preserve"> la mayor cantidad de conocimientos en la relación academia empresa en la institución?</w:t>
      </w:r>
      <w:r>
        <w:rPr>
          <w:rFonts w:ascii="Times New Roman" w:hAnsi="Times New Roman"/>
          <w:sz w:val="24"/>
        </w:rPr>
        <w:t>.</w:t>
      </w:r>
    </w:p>
    <w:p w14:paraId="38ED197E" w14:textId="77777777" w:rsidR="00F45AD2" w:rsidRDefault="00F45AD2" w:rsidP="00F45AD2">
      <w:pPr>
        <w:jc w:val="both"/>
        <w:rPr>
          <w:rFonts w:ascii="Times New Roman" w:hAnsi="Times New Roman"/>
          <w:sz w:val="24"/>
        </w:rPr>
      </w:pPr>
      <w:r>
        <w:rPr>
          <w:rFonts w:ascii="Times New Roman" w:hAnsi="Times New Roman"/>
          <w:sz w:val="24"/>
        </w:rPr>
        <w:t xml:space="preserve"> Tabla 3. Gestión del conocimiento</w:t>
      </w:r>
    </w:p>
    <w:tbl>
      <w:tblPr>
        <w:tblW w:w="8980" w:type="dxa"/>
        <w:tblInd w:w="-10" w:type="dxa"/>
        <w:tblLook w:val="04A0" w:firstRow="1" w:lastRow="0" w:firstColumn="1" w:lastColumn="0" w:noHBand="0" w:noVBand="1"/>
      </w:tblPr>
      <w:tblGrid>
        <w:gridCol w:w="2127"/>
        <w:gridCol w:w="6853"/>
      </w:tblGrid>
      <w:tr w:rsidR="00F45AD2" w:rsidRPr="00135F08" w14:paraId="0D5BE79F" w14:textId="77777777" w:rsidTr="002A201F">
        <w:trPr>
          <w:trHeight w:val="20"/>
        </w:trPr>
        <w:tc>
          <w:tcPr>
            <w:tcW w:w="8980" w:type="dxa"/>
            <w:gridSpan w:val="2"/>
            <w:tcBorders>
              <w:top w:val="single" w:sz="4" w:space="0" w:color="auto"/>
              <w:left w:val="single" w:sz="8" w:space="0" w:color="auto"/>
              <w:bottom w:val="nil"/>
              <w:right w:val="single" w:sz="8" w:space="0" w:color="000000"/>
            </w:tcBorders>
            <w:shd w:val="clear" w:color="000000" w:fill="D0CECE"/>
            <w:noWrap/>
            <w:vAlign w:val="bottom"/>
            <w:hideMark/>
          </w:tcPr>
          <w:p w14:paraId="7AF7BEB4" w14:textId="77777777" w:rsidR="00F45AD2" w:rsidRPr="00135F08" w:rsidRDefault="00F45AD2" w:rsidP="002A201F">
            <w:pPr>
              <w:spacing w:after="0" w:line="240" w:lineRule="auto"/>
              <w:jc w:val="center"/>
              <w:rPr>
                <w:rFonts w:ascii="Times New Roman" w:hAnsi="Times New Roman"/>
                <w:b/>
                <w:bCs/>
                <w:color w:val="000000"/>
                <w:sz w:val="20"/>
                <w:szCs w:val="20"/>
                <w:lang w:val="es-CO"/>
              </w:rPr>
            </w:pPr>
            <w:r w:rsidRPr="00135F08">
              <w:rPr>
                <w:rFonts w:ascii="Times New Roman" w:hAnsi="Times New Roman"/>
                <w:b/>
                <w:bCs/>
                <w:color w:val="000000"/>
                <w:sz w:val="20"/>
                <w:szCs w:val="20"/>
                <w:lang w:val="es-CO"/>
              </w:rPr>
              <w:t>GESTIÓN DE CONOCIMIENTO</w:t>
            </w:r>
          </w:p>
        </w:tc>
      </w:tr>
      <w:tr w:rsidR="00F45AD2" w:rsidRPr="00135F08" w14:paraId="1129F614" w14:textId="77777777" w:rsidTr="002A201F">
        <w:trPr>
          <w:trHeight w:val="20"/>
        </w:trPr>
        <w:tc>
          <w:tcPr>
            <w:tcW w:w="8980" w:type="dxa"/>
            <w:gridSpan w:val="2"/>
            <w:tcBorders>
              <w:top w:val="single" w:sz="4" w:space="0" w:color="auto"/>
              <w:left w:val="single" w:sz="4" w:space="0" w:color="auto"/>
              <w:bottom w:val="nil"/>
              <w:right w:val="single" w:sz="4" w:space="0" w:color="auto"/>
            </w:tcBorders>
            <w:shd w:val="clear" w:color="auto" w:fill="auto"/>
            <w:vAlign w:val="center"/>
            <w:hideMark/>
          </w:tcPr>
          <w:p w14:paraId="19D1655A" w14:textId="77777777" w:rsidR="00F45AD2" w:rsidRPr="00135F08" w:rsidRDefault="00F45AD2" w:rsidP="002A201F">
            <w:pPr>
              <w:spacing w:after="0" w:line="240" w:lineRule="auto"/>
              <w:jc w:val="center"/>
              <w:rPr>
                <w:rFonts w:ascii="Times New Roman" w:hAnsi="Times New Roman"/>
                <w:color w:val="000000"/>
                <w:sz w:val="20"/>
                <w:szCs w:val="20"/>
                <w:lang w:val="es-CO"/>
              </w:rPr>
            </w:pPr>
            <w:r w:rsidRPr="00135F08">
              <w:rPr>
                <w:rFonts w:ascii="Times New Roman" w:hAnsi="Times New Roman"/>
                <w:color w:val="000000"/>
                <w:sz w:val="20"/>
                <w:szCs w:val="20"/>
                <w:lang w:val="es-CO"/>
              </w:rPr>
              <w:t xml:space="preserve">¿Qué </w:t>
            </w:r>
            <w:proofErr w:type="gramStart"/>
            <w:r w:rsidRPr="00135F08">
              <w:rPr>
                <w:rFonts w:ascii="Times New Roman" w:hAnsi="Times New Roman"/>
                <w:color w:val="000000"/>
                <w:sz w:val="20"/>
                <w:szCs w:val="20"/>
                <w:lang w:val="es-CO"/>
              </w:rPr>
              <w:t>procesos  generan</w:t>
            </w:r>
            <w:proofErr w:type="gramEnd"/>
            <w:r w:rsidRPr="00135F08">
              <w:rPr>
                <w:rFonts w:ascii="Times New Roman" w:hAnsi="Times New Roman"/>
                <w:color w:val="000000"/>
                <w:sz w:val="20"/>
                <w:szCs w:val="20"/>
                <w:lang w:val="es-CO"/>
              </w:rPr>
              <w:t xml:space="preserve"> la mayor cantidad de conocimientos en la relación academia empresa en la institución?</w:t>
            </w:r>
          </w:p>
        </w:tc>
      </w:tr>
      <w:tr w:rsidR="00F45AD2" w:rsidRPr="00135F08" w14:paraId="23586A09" w14:textId="77777777" w:rsidTr="002A201F">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2294"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GES01</w:t>
            </w:r>
          </w:p>
        </w:tc>
        <w:tc>
          <w:tcPr>
            <w:tcW w:w="6853" w:type="dxa"/>
            <w:tcBorders>
              <w:top w:val="single" w:sz="4" w:space="0" w:color="auto"/>
              <w:left w:val="nil"/>
              <w:bottom w:val="single" w:sz="4" w:space="0" w:color="auto"/>
              <w:right w:val="single" w:sz="4" w:space="0" w:color="auto"/>
            </w:tcBorders>
            <w:shd w:val="clear" w:color="auto" w:fill="auto"/>
            <w:vAlign w:val="center"/>
            <w:hideMark/>
          </w:tcPr>
          <w:p w14:paraId="45853BEA"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Entrevistas empresariales</w:t>
            </w:r>
          </w:p>
        </w:tc>
      </w:tr>
      <w:tr w:rsidR="00F45AD2" w:rsidRPr="00135F08" w14:paraId="0F5730A4"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1E88F93"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GES02</w:t>
            </w:r>
          </w:p>
        </w:tc>
        <w:tc>
          <w:tcPr>
            <w:tcW w:w="6853" w:type="dxa"/>
            <w:tcBorders>
              <w:top w:val="nil"/>
              <w:left w:val="nil"/>
              <w:bottom w:val="single" w:sz="4" w:space="0" w:color="auto"/>
              <w:right w:val="single" w:sz="4" w:space="0" w:color="auto"/>
            </w:tcBorders>
            <w:shd w:val="clear" w:color="auto" w:fill="auto"/>
            <w:vAlign w:val="center"/>
            <w:hideMark/>
          </w:tcPr>
          <w:p w14:paraId="21D8A5A3"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Imitación y observación a los instructores en práctica</w:t>
            </w:r>
          </w:p>
        </w:tc>
      </w:tr>
      <w:tr w:rsidR="00F45AD2" w:rsidRPr="00135F08" w14:paraId="5BB33FCC"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EF1AF90"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GES03</w:t>
            </w:r>
          </w:p>
        </w:tc>
        <w:tc>
          <w:tcPr>
            <w:tcW w:w="6853" w:type="dxa"/>
            <w:tcBorders>
              <w:top w:val="nil"/>
              <w:left w:val="nil"/>
              <w:bottom w:val="single" w:sz="4" w:space="0" w:color="auto"/>
              <w:right w:val="single" w:sz="4" w:space="0" w:color="auto"/>
            </w:tcBorders>
            <w:shd w:val="clear" w:color="auto" w:fill="auto"/>
            <w:vAlign w:val="center"/>
            <w:hideMark/>
          </w:tcPr>
          <w:p w14:paraId="38E8F2B1"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Las clases en aula</w:t>
            </w:r>
          </w:p>
        </w:tc>
      </w:tr>
      <w:tr w:rsidR="00F45AD2" w:rsidRPr="00135F08" w14:paraId="37229253"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6A36A9A"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GES04</w:t>
            </w:r>
          </w:p>
        </w:tc>
        <w:tc>
          <w:tcPr>
            <w:tcW w:w="6853" w:type="dxa"/>
            <w:tcBorders>
              <w:top w:val="nil"/>
              <w:left w:val="nil"/>
              <w:bottom w:val="single" w:sz="4" w:space="0" w:color="auto"/>
              <w:right w:val="single" w:sz="4" w:space="0" w:color="auto"/>
            </w:tcBorders>
            <w:shd w:val="clear" w:color="auto" w:fill="auto"/>
            <w:vAlign w:val="center"/>
            <w:hideMark/>
          </w:tcPr>
          <w:p w14:paraId="463D423A"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La práctica empresarial</w:t>
            </w:r>
          </w:p>
        </w:tc>
      </w:tr>
      <w:tr w:rsidR="00F45AD2" w:rsidRPr="00135F08" w14:paraId="2816F073"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454392B"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GES05</w:t>
            </w:r>
          </w:p>
        </w:tc>
        <w:tc>
          <w:tcPr>
            <w:tcW w:w="6853" w:type="dxa"/>
            <w:tcBorders>
              <w:top w:val="nil"/>
              <w:left w:val="nil"/>
              <w:bottom w:val="single" w:sz="4" w:space="0" w:color="auto"/>
              <w:right w:val="single" w:sz="4" w:space="0" w:color="auto"/>
            </w:tcBorders>
            <w:shd w:val="clear" w:color="auto" w:fill="auto"/>
            <w:vAlign w:val="center"/>
            <w:hideMark/>
          </w:tcPr>
          <w:p w14:paraId="6E21F73E"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Los portafolios de servicios</w:t>
            </w:r>
          </w:p>
        </w:tc>
      </w:tr>
      <w:tr w:rsidR="00F45AD2" w:rsidRPr="00135F08" w14:paraId="5105188A"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313270C"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GES06</w:t>
            </w:r>
          </w:p>
        </w:tc>
        <w:tc>
          <w:tcPr>
            <w:tcW w:w="6853" w:type="dxa"/>
            <w:tcBorders>
              <w:top w:val="nil"/>
              <w:left w:val="nil"/>
              <w:bottom w:val="single" w:sz="4" w:space="0" w:color="auto"/>
              <w:right w:val="single" w:sz="4" w:space="0" w:color="auto"/>
            </w:tcBorders>
            <w:shd w:val="clear" w:color="auto" w:fill="auto"/>
            <w:vAlign w:val="center"/>
            <w:hideMark/>
          </w:tcPr>
          <w:p w14:paraId="60CDC4D5"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Charlas de empresarios en el aula (</w:t>
            </w:r>
            <w:proofErr w:type="spellStart"/>
            <w:r w:rsidRPr="00135F08">
              <w:rPr>
                <w:rFonts w:ascii="Times New Roman" w:hAnsi="Times New Roman"/>
                <w:color w:val="000000"/>
                <w:sz w:val="20"/>
                <w:szCs w:val="20"/>
                <w:lang w:val="es-CO"/>
              </w:rPr>
              <w:t>team</w:t>
            </w:r>
            <w:proofErr w:type="spellEnd"/>
            <w:r w:rsidRPr="00135F08">
              <w:rPr>
                <w:rFonts w:ascii="Times New Roman" w:hAnsi="Times New Roman"/>
                <w:color w:val="000000"/>
                <w:sz w:val="20"/>
                <w:szCs w:val="20"/>
                <w:lang w:val="es-CO"/>
              </w:rPr>
              <w:t xml:space="preserve"> </w:t>
            </w:r>
            <w:proofErr w:type="spellStart"/>
            <w:r w:rsidRPr="00135F08">
              <w:rPr>
                <w:rFonts w:ascii="Times New Roman" w:hAnsi="Times New Roman"/>
                <w:color w:val="000000"/>
                <w:sz w:val="20"/>
                <w:szCs w:val="20"/>
                <w:lang w:val="es-CO"/>
              </w:rPr>
              <w:t>teaching</w:t>
            </w:r>
            <w:proofErr w:type="spellEnd"/>
            <w:r w:rsidRPr="00135F08">
              <w:rPr>
                <w:rFonts w:ascii="Times New Roman" w:hAnsi="Times New Roman"/>
                <w:color w:val="000000"/>
                <w:sz w:val="20"/>
                <w:szCs w:val="20"/>
                <w:lang w:val="es-CO"/>
              </w:rPr>
              <w:t>)</w:t>
            </w:r>
          </w:p>
        </w:tc>
      </w:tr>
      <w:tr w:rsidR="00F45AD2" w:rsidRPr="00135F08" w14:paraId="39BCCE73"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B8B34F5"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GES07</w:t>
            </w:r>
          </w:p>
        </w:tc>
        <w:tc>
          <w:tcPr>
            <w:tcW w:w="6853" w:type="dxa"/>
            <w:tcBorders>
              <w:top w:val="nil"/>
              <w:left w:val="nil"/>
              <w:bottom w:val="single" w:sz="4" w:space="0" w:color="auto"/>
              <w:right w:val="single" w:sz="4" w:space="0" w:color="auto"/>
            </w:tcBorders>
            <w:shd w:val="clear" w:color="auto" w:fill="auto"/>
            <w:vAlign w:val="center"/>
            <w:hideMark/>
          </w:tcPr>
          <w:p w14:paraId="367B7824"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Participación de empresarios en los consejos directivos</w:t>
            </w:r>
          </w:p>
        </w:tc>
      </w:tr>
      <w:tr w:rsidR="00F45AD2" w:rsidRPr="00135F08" w14:paraId="31C69F47"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B48F5A9"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GES08</w:t>
            </w:r>
          </w:p>
        </w:tc>
        <w:tc>
          <w:tcPr>
            <w:tcW w:w="6853" w:type="dxa"/>
            <w:tcBorders>
              <w:top w:val="nil"/>
              <w:left w:val="nil"/>
              <w:bottom w:val="single" w:sz="4" w:space="0" w:color="auto"/>
              <w:right w:val="single" w:sz="4" w:space="0" w:color="auto"/>
            </w:tcBorders>
            <w:shd w:val="clear" w:color="auto" w:fill="auto"/>
            <w:vAlign w:val="center"/>
            <w:hideMark/>
          </w:tcPr>
          <w:p w14:paraId="59050CBD"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Evaluación de impacto a egresados y empresarios</w:t>
            </w:r>
          </w:p>
        </w:tc>
      </w:tr>
      <w:tr w:rsidR="00F45AD2" w:rsidRPr="00135F08" w14:paraId="55D123BD"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BD940DC"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GES09</w:t>
            </w:r>
          </w:p>
        </w:tc>
        <w:tc>
          <w:tcPr>
            <w:tcW w:w="6853" w:type="dxa"/>
            <w:tcBorders>
              <w:top w:val="nil"/>
              <w:left w:val="nil"/>
              <w:bottom w:val="single" w:sz="4" w:space="0" w:color="auto"/>
              <w:right w:val="single" w:sz="4" w:space="0" w:color="auto"/>
            </w:tcBorders>
            <w:shd w:val="clear" w:color="auto" w:fill="auto"/>
            <w:vAlign w:val="center"/>
            <w:hideMark/>
          </w:tcPr>
          <w:p w14:paraId="4899F823"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Reuniones de autoevaluación</w:t>
            </w:r>
          </w:p>
        </w:tc>
      </w:tr>
      <w:tr w:rsidR="00F45AD2" w:rsidRPr="00135F08" w14:paraId="6A428BB3"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354FF5F"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GES10</w:t>
            </w:r>
          </w:p>
        </w:tc>
        <w:tc>
          <w:tcPr>
            <w:tcW w:w="6853" w:type="dxa"/>
            <w:tcBorders>
              <w:top w:val="nil"/>
              <w:left w:val="nil"/>
              <w:bottom w:val="single" w:sz="4" w:space="0" w:color="auto"/>
              <w:right w:val="single" w:sz="4" w:space="0" w:color="auto"/>
            </w:tcBorders>
            <w:shd w:val="clear" w:color="auto" w:fill="auto"/>
            <w:vAlign w:val="center"/>
            <w:hideMark/>
          </w:tcPr>
          <w:p w14:paraId="7ED5C70F"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guías de proyectos</w:t>
            </w:r>
          </w:p>
        </w:tc>
      </w:tr>
      <w:tr w:rsidR="00F45AD2" w:rsidRPr="00135F08" w14:paraId="1DE43598"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5F6389B"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GES11</w:t>
            </w:r>
          </w:p>
        </w:tc>
        <w:tc>
          <w:tcPr>
            <w:tcW w:w="6853" w:type="dxa"/>
            <w:tcBorders>
              <w:top w:val="nil"/>
              <w:left w:val="nil"/>
              <w:bottom w:val="single" w:sz="4" w:space="0" w:color="auto"/>
              <w:right w:val="single" w:sz="4" w:space="0" w:color="auto"/>
            </w:tcBorders>
            <w:shd w:val="clear" w:color="auto" w:fill="auto"/>
            <w:vAlign w:val="center"/>
            <w:hideMark/>
          </w:tcPr>
          <w:p w14:paraId="21E65F56"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Investigación aplicada</w:t>
            </w:r>
          </w:p>
        </w:tc>
      </w:tr>
      <w:tr w:rsidR="00F45AD2" w:rsidRPr="00135F08" w14:paraId="3D4607A0"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6E8C968"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GES12</w:t>
            </w:r>
          </w:p>
        </w:tc>
        <w:tc>
          <w:tcPr>
            <w:tcW w:w="6853" w:type="dxa"/>
            <w:tcBorders>
              <w:top w:val="nil"/>
              <w:left w:val="nil"/>
              <w:bottom w:val="single" w:sz="4" w:space="0" w:color="auto"/>
              <w:right w:val="single" w:sz="4" w:space="0" w:color="auto"/>
            </w:tcBorders>
            <w:shd w:val="clear" w:color="auto" w:fill="auto"/>
            <w:vAlign w:val="center"/>
            <w:hideMark/>
          </w:tcPr>
          <w:p w14:paraId="3B8375AB"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juegos empresariales</w:t>
            </w:r>
          </w:p>
        </w:tc>
      </w:tr>
      <w:tr w:rsidR="00F45AD2" w:rsidRPr="00135F08" w14:paraId="42BE44AC"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29F4B2F"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GES13</w:t>
            </w:r>
          </w:p>
        </w:tc>
        <w:tc>
          <w:tcPr>
            <w:tcW w:w="6853" w:type="dxa"/>
            <w:tcBorders>
              <w:top w:val="nil"/>
              <w:left w:val="nil"/>
              <w:bottom w:val="single" w:sz="4" w:space="0" w:color="auto"/>
              <w:right w:val="single" w:sz="4" w:space="0" w:color="auto"/>
            </w:tcBorders>
            <w:shd w:val="clear" w:color="auto" w:fill="auto"/>
            <w:vAlign w:val="center"/>
            <w:hideMark/>
          </w:tcPr>
          <w:p w14:paraId="74141D8B"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Visitas Académicas</w:t>
            </w:r>
          </w:p>
        </w:tc>
      </w:tr>
      <w:tr w:rsidR="00F45AD2" w:rsidRPr="00135F08" w14:paraId="1C57AE44"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85D58F9"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GES14</w:t>
            </w:r>
          </w:p>
        </w:tc>
        <w:tc>
          <w:tcPr>
            <w:tcW w:w="6853" w:type="dxa"/>
            <w:tcBorders>
              <w:top w:val="nil"/>
              <w:left w:val="nil"/>
              <w:bottom w:val="single" w:sz="4" w:space="0" w:color="auto"/>
              <w:right w:val="single" w:sz="4" w:space="0" w:color="auto"/>
            </w:tcBorders>
            <w:shd w:val="clear" w:color="auto" w:fill="auto"/>
            <w:vAlign w:val="center"/>
            <w:hideMark/>
          </w:tcPr>
          <w:p w14:paraId="502AFDCE"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Formación de Instructores FDI</w:t>
            </w:r>
          </w:p>
        </w:tc>
      </w:tr>
      <w:tr w:rsidR="00F45AD2" w:rsidRPr="00135F08" w14:paraId="61DE2E1E"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AC525CA"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GES15</w:t>
            </w:r>
          </w:p>
        </w:tc>
        <w:tc>
          <w:tcPr>
            <w:tcW w:w="6853" w:type="dxa"/>
            <w:tcBorders>
              <w:top w:val="nil"/>
              <w:left w:val="nil"/>
              <w:bottom w:val="single" w:sz="4" w:space="0" w:color="auto"/>
              <w:right w:val="single" w:sz="4" w:space="0" w:color="auto"/>
            </w:tcBorders>
            <w:shd w:val="clear" w:color="auto" w:fill="auto"/>
            <w:vAlign w:val="center"/>
            <w:hideMark/>
          </w:tcPr>
          <w:p w14:paraId="2847B457"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Formación de Docentes FDD</w:t>
            </w:r>
          </w:p>
        </w:tc>
      </w:tr>
      <w:tr w:rsidR="00F45AD2" w:rsidRPr="00135F08" w14:paraId="4789CC4B"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39C1DCD"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GES16</w:t>
            </w:r>
          </w:p>
        </w:tc>
        <w:tc>
          <w:tcPr>
            <w:tcW w:w="6853" w:type="dxa"/>
            <w:tcBorders>
              <w:top w:val="nil"/>
              <w:left w:val="nil"/>
              <w:bottom w:val="single" w:sz="4" w:space="0" w:color="auto"/>
              <w:right w:val="single" w:sz="4" w:space="0" w:color="auto"/>
            </w:tcBorders>
            <w:shd w:val="clear" w:color="auto" w:fill="auto"/>
            <w:vAlign w:val="center"/>
            <w:hideMark/>
          </w:tcPr>
          <w:p w14:paraId="37300057"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Proceso de consecución de empresas</w:t>
            </w:r>
          </w:p>
        </w:tc>
      </w:tr>
      <w:tr w:rsidR="00F45AD2" w:rsidRPr="00135F08" w14:paraId="4968EE2C"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C6F260D"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GES17</w:t>
            </w:r>
          </w:p>
        </w:tc>
        <w:tc>
          <w:tcPr>
            <w:tcW w:w="6853" w:type="dxa"/>
            <w:tcBorders>
              <w:top w:val="nil"/>
              <w:left w:val="nil"/>
              <w:bottom w:val="single" w:sz="4" w:space="0" w:color="auto"/>
              <w:right w:val="single" w:sz="4" w:space="0" w:color="auto"/>
            </w:tcBorders>
            <w:shd w:val="clear" w:color="auto" w:fill="auto"/>
            <w:vAlign w:val="center"/>
            <w:hideMark/>
          </w:tcPr>
          <w:p w14:paraId="1F137B2B"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Reuniones entre docentes y asesores</w:t>
            </w:r>
          </w:p>
        </w:tc>
      </w:tr>
      <w:tr w:rsidR="00F45AD2" w:rsidRPr="00135F08" w14:paraId="2344EEA7"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985E7BF"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GES18</w:t>
            </w:r>
          </w:p>
        </w:tc>
        <w:tc>
          <w:tcPr>
            <w:tcW w:w="6853" w:type="dxa"/>
            <w:tcBorders>
              <w:top w:val="nil"/>
              <w:left w:val="nil"/>
              <w:bottom w:val="single" w:sz="4" w:space="0" w:color="auto"/>
              <w:right w:val="single" w:sz="4" w:space="0" w:color="auto"/>
            </w:tcBorders>
            <w:shd w:val="clear" w:color="auto" w:fill="auto"/>
            <w:vAlign w:val="center"/>
            <w:hideMark/>
          </w:tcPr>
          <w:p w14:paraId="01187B75" w14:textId="503CE0F4"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 xml:space="preserve">Reuniones periódicas de </w:t>
            </w:r>
            <w:r w:rsidRPr="00135F08">
              <w:rPr>
                <w:rFonts w:ascii="Times New Roman" w:hAnsi="Times New Roman"/>
                <w:color w:val="000000"/>
                <w:sz w:val="20"/>
                <w:szCs w:val="20"/>
                <w:lang w:val="es-CO"/>
              </w:rPr>
              <w:t>relacionamiento con</w:t>
            </w:r>
            <w:r w:rsidRPr="00135F08">
              <w:rPr>
                <w:rFonts w:ascii="Times New Roman" w:hAnsi="Times New Roman"/>
                <w:color w:val="000000"/>
                <w:sz w:val="20"/>
                <w:szCs w:val="20"/>
                <w:lang w:val="es-CO"/>
              </w:rPr>
              <w:t xml:space="preserve"> la empresa</w:t>
            </w:r>
          </w:p>
        </w:tc>
      </w:tr>
      <w:tr w:rsidR="00F45AD2" w:rsidRPr="00135F08" w14:paraId="724F8095"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6844A86"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GES19</w:t>
            </w:r>
          </w:p>
        </w:tc>
        <w:tc>
          <w:tcPr>
            <w:tcW w:w="6853" w:type="dxa"/>
            <w:tcBorders>
              <w:top w:val="nil"/>
              <w:left w:val="nil"/>
              <w:bottom w:val="single" w:sz="4" w:space="0" w:color="auto"/>
              <w:right w:val="single" w:sz="4" w:space="0" w:color="auto"/>
            </w:tcBorders>
            <w:shd w:val="clear" w:color="auto" w:fill="auto"/>
            <w:vAlign w:val="center"/>
            <w:hideMark/>
          </w:tcPr>
          <w:p w14:paraId="3C2BAB18"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Laboratorio empresarial - catedra preparación práctica</w:t>
            </w:r>
          </w:p>
        </w:tc>
      </w:tr>
      <w:tr w:rsidR="00F45AD2" w:rsidRPr="00135F08" w14:paraId="7473CA3A" w14:textId="77777777" w:rsidTr="002A201F">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F04D9F3"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GES20</w:t>
            </w:r>
          </w:p>
        </w:tc>
        <w:tc>
          <w:tcPr>
            <w:tcW w:w="6853" w:type="dxa"/>
            <w:tcBorders>
              <w:top w:val="nil"/>
              <w:left w:val="nil"/>
              <w:bottom w:val="single" w:sz="4" w:space="0" w:color="auto"/>
              <w:right w:val="single" w:sz="4" w:space="0" w:color="auto"/>
            </w:tcBorders>
            <w:shd w:val="clear" w:color="auto" w:fill="auto"/>
            <w:vAlign w:val="center"/>
            <w:hideMark/>
          </w:tcPr>
          <w:p w14:paraId="282A2901" w14:textId="77777777" w:rsidR="00F45AD2" w:rsidRPr="00135F08" w:rsidRDefault="00F45AD2" w:rsidP="002A201F">
            <w:pPr>
              <w:spacing w:after="0" w:line="240" w:lineRule="auto"/>
              <w:rPr>
                <w:rFonts w:ascii="Times New Roman" w:hAnsi="Times New Roman"/>
                <w:color w:val="000000"/>
                <w:sz w:val="20"/>
                <w:szCs w:val="20"/>
                <w:lang w:val="es-CO"/>
              </w:rPr>
            </w:pPr>
            <w:r w:rsidRPr="00135F08">
              <w:rPr>
                <w:rFonts w:ascii="Times New Roman" w:hAnsi="Times New Roman"/>
                <w:color w:val="000000"/>
                <w:sz w:val="20"/>
                <w:szCs w:val="20"/>
                <w:lang w:val="es-CO"/>
              </w:rPr>
              <w:t>Plan de mejora o proyecto de empresa</w:t>
            </w:r>
          </w:p>
        </w:tc>
      </w:tr>
    </w:tbl>
    <w:p w14:paraId="1921FC1F" w14:textId="388B469A" w:rsidR="00F45AD2" w:rsidRDefault="00F45AD2" w:rsidP="00F45AD2">
      <w:pPr>
        <w:jc w:val="both"/>
        <w:rPr>
          <w:rFonts w:ascii="Times New Roman" w:hAnsi="Times New Roman"/>
          <w:sz w:val="24"/>
        </w:rPr>
      </w:pPr>
    </w:p>
    <w:p w14:paraId="522058DD" w14:textId="77777777" w:rsidR="00F45AD2" w:rsidRPr="00F3164E" w:rsidRDefault="00F45AD2" w:rsidP="00F45AD2">
      <w:pPr>
        <w:jc w:val="both"/>
        <w:rPr>
          <w:rFonts w:ascii="Times New Roman" w:hAnsi="Times New Roman"/>
          <w:sz w:val="24"/>
        </w:rPr>
      </w:pPr>
    </w:p>
    <w:p w14:paraId="47D1FE37" w14:textId="77777777" w:rsidR="00F45AD2" w:rsidRDefault="00F45AD2" w:rsidP="00F45AD2">
      <w:pPr>
        <w:spacing w:after="120" w:line="240" w:lineRule="auto"/>
        <w:ind w:right="48"/>
        <w:jc w:val="both"/>
        <w:rPr>
          <w:rFonts w:ascii="Times New Roman" w:eastAsia="Cambria" w:hAnsi="Times New Roman"/>
          <w:sz w:val="24"/>
          <w:szCs w:val="24"/>
        </w:rPr>
      </w:pPr>
      <w:r>
        <w:rPr>
          <w:rFonts w:ascii="Times New Roman" w:eastAsia="Cambria" w:hAnsi="Times New Roman"/>
          <w:sz w:val="24"/>
          <w:szCs w:val="24"/>
        </w:rPr>
        <w:lastRenderedPageBreak/>
        <w:t>b. En referencia a la generación de conocimiento, las preguntas abordan la espiral de conocimiento propuesta por Nonaka &amp; Takeuchi (1995)</w:t>
      </w:r>
    </w:p>
    <w:tbl>
      <w:tblPr>
        <w:tblW w:w="8980" w:type="dxa"/>
        <w:tblInd w:w="-5" w:type="dxa"/>
        <w:tblLook w:val="04A0" w:firstRow="1" w:lastRow="0" w:firstColumn="1" w:lastColumn="0" w:noHBand="0" w:noVBand="1"/>
      </w:tblPr>
      <w:tblGrid>
        <w:gridCol w:w="5080"/>
        <w:gridCol w:w="3900"/>
      </w:tblGrid>
      <w:tr w:rsidR="00F45AD2" w:rsidRPr="008E6BB5" w14:paraId="7F085117"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E124C5C" w14:textId="77777777" w:rsidR="00F45AD2" w:rsidRPr="008E6BB5" w:rsidRDefault="00F45AD2" w:rsidP="002A201F">
            <w:pPr>
              <w:spacing w:after="0" w:line="240" w:lineRule="auto"/>
              <w:rPr>
                <w:rFonts w:ascii="Times New Roman" w:hAnsi="Times New Roman"/>
                <w:b/>
                <w:bCs/>
                <w:color w:val="000000"/>
                <w:sz w:val="20"/>
                <w:szCs w:val="20"/>
                <w:lang w:val="es-CO"/>
              </w:rPr>
            </w:pPr>
            <w:r w:rsidRPr="008E6BB5">
              <w:rPr>
                <w:rFonts w:ascii="Times New Roman" w:hAnsi="Times New Roman"/>
                <w:b/>
                <w:bCs/>
                <w:color w:val="000000"/>
                <w:sz w:val="20"/>
                <w:szCs w:val="20"/>
                <w:lang w:val="es-CO"/>
              </w:rPr>
              <w:t>GENERACIÓN DE CONOCIMIENTO</w:t>
            </w:r>
          </w:p>
        </w:tc>
      </w:tr>
      <w:tr w:rsidR="00F45AD2" w:rsidRPr="008E6BB5" w14:paraId="31762175"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BE03B" w14:textId="77777777" w:rsidR="00F45AD2" w:rsidRPr="008E6BB5" w:rsidRDefault="00F45AD2" w:rsidP="002A201F">
            <w:pPr>
              <w:spacing w:after="0" w:line="240" w:lineRule="auto"/>
              <w:rPr>
                <w:rFonts w:ascii="Times New Roman" w:hAnsi="Times New Roman"/>
                <w:b/>
                <w:bCs/>
                <w:color w:val="000000"/>
                <w:sz w:val="20"/>
                <w:szCs w:val="20"/>
                <w:lang w:val="es-CO"/>
              </w:rPr>
            </w:pPr>
            <w:r w:rsidRPr="008E6BB5">
              <w:rPr>
                <w:rFonts w:ascii="Times New Roman" w:hAnsi="Times New Roman"/>
                <w:b/>
                <w:bCs/>
                <w:color w:val="000000"/>
                <w:sz w:val="20"/>
                <w:szCs w:val="20"/>
                <w:lang w:val="es-CO"/>
              </w:rPr>
              <w:t>1.       Socialización</w:t>
            </w:r>
          </w:p>
        </w:tc>
      </w:tr>
      <w:tr w:rsidR="00F45AD2" w:rsidRPr="008E6BB5" w14:paraId="22EF0317"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603F"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¿Existen mecanismos para conocer las necesidades de conocimiento de las empresas formadoras, de los docentes y de los estudiantes?</w:t>
            </w:r>
          </w:p>
        </w:tc>
      </w:tr>
      <w:tr w:rsidR="00F45AD2" w:rsidRPr="008E6BB5" w14:paraId="7CD6A5F7"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465657A8"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GENsoc01</w:t>
            </w:r>
          </w:p>
        </w:tc>
        <w:tc>
          <w:tcPr>
            <w:tcW w:w="3900" w:type="dxa"/>
            <w:tcBorders>
              <w:top w:val="nil"/>
              <w:left w:val="nil"/>
              <w:bottom w:val="single" w:sz="4" w:space="0" w:color="auto"/>
              <w:right w:val="single" w:sz="4" w:space="0" w:color="auto"/>
            </w:tcBorders>
            <w:shd w:val="clear" w:color="auto" w:fill="auto"/>
            <w:vAlign w:val="center"/>
            <w:hideMark/>
          </w:tcPr>
          <w:p w14:paraId="796D9AC0"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Reunión inicial del empresario con el asesor</w:t>
            </w:r>
          </w:p>
        </w:tc>
      </w:tr>
      <w:tr w:rsidR="00F45AD2" w:rsidRPr="008E6BB5" w14:paraId="6AEF8C76"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51A9FC6D"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GENsoc02</w:t>
            </w:r>
          </w:p>
        </w:tc>
        <w:tc>
          <w:tcPr>
            <w:tcW w:w="3900" w:type="dxa"/>
            <w:tcBorders>
              <w:top w:val="nil"/>
              <w:left w:val="nil"/>
              <w:bottom w:val="single" w:sz="4" w:space="0" w:color="auto"/>
              <w:right w:val="single" w:sz="4" w:space="0" w:color="auto"/>
            </w:tcBorders>
            <w:shd w:val="clear" w:color="auto" w:fill="auto"/>
            <w:vAlign w:val="center"/>
            <w:hideMark/>
          </w:tcPr>
          <w:p w14:paraId="0145B9A4"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 xml:space="preserve">Reunión empresario con </w:t>
            </w:r>
            <w:proofErr w:type="gramStart"/>
            <w:r w:rsidRPr="008E6BB5">
              <w:rPr>
                <w:rFonts w:ascii="Times New Roman" w:hAnsi="Times New Roman"/>
                <w:color w:val="000000"/>
                <w:sz w:val="20"/>
                <w:szCs w:val="20"/>
                <w:lang w:val="es-CO"/>
              </w:rPr>
              <w:t>estudiante  descripción</w:t>
            </w:r>
            <w:proofErr w:type="gramEnd"/>
            <w:r w:rsidRPr="008E6BB5">
              <w:rPr>
                <w:rFonts w:ascii="Times New Roman" w:hAnsi="Times New Roman"/>
                <w:color w:val="000000"/>
                <w:sz w:val="20"/>
                <w:szCs w:val="20"/>
                <w:lang w:val="es-CO"/>
              </w:rPr>
              <w:t xml:space="preserve"> de funciones</w:t>
            </w:r>
          </w:p>
        </w:tc>
      </w:tr>
      <w:tr w:rsidR="00F45AD2" w:rsidRPr="008E6BB5" w14:paraId="4155C03D"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02EC7A71"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GENsoc03</w:t>
            </w:r>
          </w:p>
        </w:tc>
        <w:tc>
          <w:tcPr>
            <w:tcW w:w="3900" w:type="dxa"/>
            <w:tcBorders>
              <w:top w:val="nil"/>
              <w:left w:val="nil"/>
              <w:bottom w:val="single" w:sz="4" w:space="0" w:color="auto"/>
              <w:right w:val="single" w:sz="4" w:space="0" w:color="auto"/>
            </w:tcBorders>
            <w:shd w:val="clear" w:color="auto" w:fill="auto"/>
            <w:vAlign w:val="center"/>
            <w:hideMark/>
          </w:tcPr>
          <w:p w14:paraId="4521EB89"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Testeo de los programas por los empresarios</w:t>
            </w:r>
          </w:p>
        </w:tc>
      </w:tr>
      <w:tr w:rsidR="00F45AD2" w:rsidRPr="008E6BB5" w14:paraId="59DB4A11"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11BCA9FF"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GENsoc04</w:t>
            </w:r>
          </w:p>
        </w:tc>
        <w:tc>
          <w:tcPr>
            <w:tcW w:w="3900" w:type="dxa"/>
            <w:tcBorders>
              <w:top w:val="nil"/>
              <w:left w:val="nil"/>
              <w:bottom w:val="single" w:sz="4" w:space="0" w:color="auto"/>
              <w:right w:val="single" w:sz="4" w:space="0" w:color="auto"/>
            </w:tcBorders>
            <w:shd w:val="clear" w:color="auto" w:fill="auto"/>
            <w:vAlign w:val="center"/>
            <w:hideMark/>
          </w:tcPr>
          <w:p w14:paraId="0DD25A35"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Información de Cámara de Comercio</w:t>
            </w:r>
          </w:p>
        </w:tc>
      </w:tr>
      <w:tr w:rsidR="00F45AD2" w:rsidRPr="008E6BB5" w14:paraId="05F812FD"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4CB54B76"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GENsoc05</w:t>
            </w:r>
          </w:p>
        </w:tc>
        <w:tc>
          <w:tcPr>
            <w:tcW w:w="3900" w:type="dxa"/>
            <w:tcBorders>
              <w:top w:val="nil"/>
              <w:left w:val="nil"/>
              <w:bottom w:val="single" w:sz="4" w:space="0" w:color="auto"/>
              <w:right w:val="single" w:sz="4" w:space="0" w:color="auto"/>
            </w:tcBorders>
            <w:shd w:val="clear" w:color="auto" w:fill="auto"/>
            <w:vAlign w:val="center"/>
            <w:hideMark/>
          </w:tcPr>
          <w:p w14:paraId="621CCD2D"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Visitas empresariales</w:t>
            </w:r>
          </w:p>
        </w:tc>
      </w:tr>
      <w:tr w:rsidR="00F45AD2" w:rsidRPr="008E6BB5" w14:paraId="7B2A9667" w14:textId="77777777" w:rsidTr="002A201F">
        <w:trPr>
          <w:trHeight w:val="20"/>
        </w:trPr>
        <w:tc>
          <w:tcPr>
            <w:tcW w:w="5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D2D02"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2. Exteriorización</w:t>
            </w:r>
          </w:p>
        </w:tc>
        <w:tc>
          <w:tcPr>
            <w:tcW w:w="3900" w:type="dxa"/>
            <w:tcBorders>
              <w:top w:val="single" w:sz="4" w:space="0" w:color="auto"/>
              <w:left w:val="nil"/>
              <w:bottom w:val="single" w:sz="4" w:space="0" w:color="auto"/>
              <w:right w:val="single" w:sz="4" w:space="0" w:color="auto"/>
            </w:tcBorders>
            <w:shd w:val="clear" w:color="auto" w:fill="auto"/>
            <w:noWrap/>
            <w:vAlign w:val="bottom"/>
            <w:hideMark/>
          </w:tcPr>
          <w:p w14:paraId="43B468F0"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 </w:t>
            </w:r>
          </w:p>
        </w:tc>
      </w:tr>
      <w:tr w:rsidR="00F45AD2" w:rsidRPr="008E6BB5" w14:paraId="38D96446"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D8D7BE" w14:textId="77777777" w:rsidR="00F45AD2" w:rsidRPr="008E6BB5" w:rsidRDefault="00F45AD2" w:rsidP="002A201F">
            <w:pPr>
              <w:spacing w:after="0" w:line="240" w:lineRule="auto"/>
              <w:jc w:val="center"/>
              <w:rPr>
                <w:rFonts w:ascii="Times New Roman" w:hAnsi="Times New Roman"/>
                <w:color w:val="000000"/>
                <w:sz w:val="20"/>
                <w:szCs w:val="20"/>
                <w:lang w:val="es-CO"/>
              </w:rPr>
            </w:pPr>
            <w:r w:rsidRPr="008E6BB5">
              <w:rPr>
                <w:rFonts w:ascii="Times New Roman" w:hAnsi="Times New Roman"/>
                <w:color w:val="000000"/>
                <w:sz w:val="20"/>
                <w:szCs w:val="20"/>
                <w:lang w:val="es-CO"/>
              </w:rPr>
              <w:t>¿Existen espacios colaborativos para compartir conocimiento?</w:t>
            </w:r>
          </w:p>
        </w:tc>
      </w:tr>
      <w:tr w:rsidR="00F45AD2" w:rsidRPr="008E6BB5" w14:paraId="133FEEF7"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06E89984"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GENex01</w:t>
            </w:r>
          </w:p>
        </w:tc>
        <w:tc>
          <w:tcPr>
            <w:tcW w:w="3900" w:type="dxa"/>
            <w:tcBorders>
              <w:top w:val="nil"/>
              <w:left w:val="nil"/>
              <w:bottom w:val="single" w:sz="4" w:space="0" w:color="auto"/>
              <w:right w:val="single" w:sz="4" w:space="0" w:color="auto"/>
            </w:tcBorders>
            <w:shd w:val="clear" w:color="auto" w:fill="auto"/>
            <w:vAlign w:val="center"/>
            <w:hideMark/>
          </w:tcPr>
          <w:p w14:paraId="24560664"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Espacios informales</w:t>
            </w:r>
          </w:p>
        </w:tc>
      </w:tr>
      <w:tr w:rsidR="00F45AD2" w:rsidRPr="008E6BB5" w14:paraId="07C33F10"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16BF3BE5"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GENex02</w:t>
            </w:r>
          </w:p>
        </w:tc>
        <w:tc>
          <w:tcPr>
            <w:tcW w:w="3900" w:type="dxa"/>
            <w:tcBorders>
              <w:top w:val="nil"/>
              <w:left w:val="nil"/>
              <w:bottom w:val="single" w:sz="4" w:space="0" w:color="auto"/>
              <w:right w:val="single" w:sz="4" w:space="0" w:color="auto"/>
            </w:tcBorders>
            <w:shd w:val="clear" w:color="auto" w:fill="auto"/>
            <w:vAlign w:val="center"/>
            <w:hideMark/>
          </w:tcPr>
          <w:p w14:paraId="41698294"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En la empresa la hora del almuerzo</w:t>
            </w:r>
          </w:p>
        </w:tc>
      </w:tr>
      <w:tr w:rsidR="00F45AD2" w:rsidRPr="008E6BB5" w14:paraId="6EDCF4BB"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6856ED60"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GENex03</w:t>
            </w:r>
          </w:p>
        </w:tc>
        <w:tc>
          <w:tcPr>
            <w:tcW w:w="3900" w:type="dxa"/>
            <w:tcBorders>
              <w:top w:val="nil"/>
              <w:left w:val="nil"/>
              <w:bottom w:val="single" w:sz="4" w:space="0" w:color="auto"/>
              <w:right w:val="single" w:sz="4" w:space="0" w:color="auto"/>
            </w:tcBorders>
            <w:shd w:val="clear" w:color="auto" w:fill="auto"/>
            <w:vAlign w:val="center"/>
            <w:hideMark/>
          </w:tcPr>
          <w:p w14:paraId="69DD6E4A"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Charlas informales al regresar al aula</w:t>
            </w:r>
          </w:p>
        </w:tc>
      </w:tr>
      <w:tr w:rsidR="00F45AD2" w:rsidRPr="008E6BB5" w14:paraId="53FABB00"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2DA5A0B2"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GENex04</w:t>
            </w:r>
          </w:p>
        </w:tc>
        <w:tc>
          <w:tcPr>
            <w:tcW w:w="3900" w:type="dxa"/>
            <w:tcBorders>
              <w:top w:val="nil"/>
              <w:left w:val="nil"/>
              <w:bottom w:val="single" w:sz="4" w:space="0" w:color="auto"/>
              <w:right w:val="single" w:sz="4" w:space="0" w:color="auto"/>
            </w:tcBorders>
            <w:shd w:val="clear" w:color="auto" w:fill="auto"/>
            <w:vAlign w:val="center"/>
            <w:hideMark/>
          </w:tcPr>
          <w:p w14:paraId="4612A2C2"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Comités</w:t>
            </w:r>
            <w:r>
              <w:rPr>
                <w:rFonts w:ascii="Times New Roman" w:hAnsi="Times New Roman"/>
                <w:color w:val="000000"/>
                <w:sz w:val="20"/>
                <w:szCs w:val="20"/>
                <w:lang w:val="es-CO"/>
              </w:rPr>
              <w:t xml:space="preserve">  </w:t>
            </w:r>
            <w:r w:rsidRPr="008E6BB5">
              <w:rPr>
                <w:rFonts w:ascii="Times New Roman" w:hAnsi="Times New Roman"/>
                <w:color w:val="000000"/>
                <w:sz w:val="20"/>
                <w:szCs w:val="20"/>
                <w:lang w:val="es-CO"/>
              </w:rPr>
              <w:t xml:space="preserve"> curriculares</w:t>
            </w:r>
          </w:p>
        </w:tc>
      </w:tr>
      <w:tr w:rsidR="00F45AD2" w:rsidRPr="008E6BB5" w14:paraId="33C21491"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54E4D6A0"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GENex05</w:t>
            </w:r>
          </w:p>
        </w:tc>
        <w:tc>
          <w:tcPr>
            <w:tcW w:w="3900" w:type="dxa"/>
            <w:tcBorders>
              <w:top w:val="nil"/>
              <w:left w:val="nil"/>
              <w:bottom w:val="single" w:sz="4" w:space="0" w:color="auto"/>
              <w:right w:val="single" w:sz="4" w:space="0" w:color="auto"/>
            </w:tcBorders>
            <w:shd w:val="clear" w:color="auto" w:fill="auto"/>
            <w:vAlign w:val="center"/>
            <w:hideMark/>
          </w:tcPr>
          <w:p w14:paraId="6A0A99FB"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Entrevista de retroalimentación con estudiantes</w:t>
            </w:r>
          </w:p>
        </w:tc>
      </w:tr>
      <w:tr w:rsidR="00F45AD2" w:rsidRPr="008E6BB5" w14:paraId="6DE5931E"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BC51C"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3. Combinación</w:t>
            </w:r>
          </w:p>
        </w:tc>
      </w:tr>
      <w:tr w:rsidR="00F45AD2" w:rsidRPr="008E6BB5" w14:paraId="7BF671CF"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49DED6" w14:textId="77777777" w:rsidR="00F45AD2" w:rsidRPr="008E6BB5" w:rsidRDefault="00F45AD2" w:rsidP="002A201F">
            <w:pPr>
              <w:spacing w:after="0" w:line="240" w:lineRule="auto"/>
              <w:jc w:val="center"/>
              <w:rPr>
                <w:rFonts w:ascii="Times New Roman" w:hAnsi="Times New Roman"/>
                <w:color w:val="000000"/>
                <w:sz w:val="20"/>
                <w:szCs w:val="20"/>
                <w:lang w:val="es-CO"/>
              </w:rPr>
            </w:pPr>
            <w:r w:rsidRPr="008E6BB5">
              <w:rPr>
                <w:rFonts w:ascii="Times New Roman" w:hAnsi="Times New Roman"/>
                <w:color w:val="000000"/>
                <w:sz w:val="20"/>
                <w:szCs w:val="20"/>
                <w:lang w:val="es-CO"/>
              </w:rPr>
              <w:t>¿Explique cómo se documenta la relación academia – empresa?</w:t>
            </w:r>
          </w:p>
        </w:tc>
      </w:tr>
      <w:tr w:rsidR="00F45AD2" w:rsidRPr="008E6BB5" w14:paraId="672A6547"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387909A3"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GENcom01</w:t>
            </w:r>
          </w:p>
        </w:tc>
        <w:tc>
          <w:tcPr>
            <w:tcW w:w="3900" w:type="dxa"/>
            <w:tcBorders>
              <w:top w:val="nil"/>
              <w:left w:val="nil"/>
              <w:bottom w:val="single" w:sz="4" w:space="0" w:color="auto"/>
              <w:right w:val="single" w:sz="4" w:space="0" w:color="auto"/>
            </w:tcBorders>
            <w:shd w:val="clear" w:color="auto" w:fill="auto"/>
            <w:vAlign w:val="center"/>
            <w:hideMark/>
          </w:tcPr>
          <w:p w14:paraId="16737A60"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Planes de mejora</w:t>
            </w:r>
          </w:p>
        </w:tc>
      </w:tr>
      <w:tr w:rsidR="00F45AD2" w:rsidRPr="008E6BB5" w14:paraId="2E7CBD0C"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607C3BAB"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GENcom02</w:t>
            </w:r>
          </w:p>
        </w:tc>
        <w:tc>
          <w:tcPr>
            <w:tcW w:w="3900" w:type="dxa"/>
            <w:tcBorders>
              <w:top w:val="nil"/>
              <w:left w:val="nil"/>
              <w:bottom w:val="single" w:sz="4" w:space="0" w:color="auto"/>
              <w:right w:val="single" w:sz="4" w:space="0" w:color="auto"/>
            </w:tcBorders>
            <w:shd w:val="clear" w:color="auto" w:fill="auto"/>
            <w:vAlign w:val="center"/>
            <w:hideMark/>
          </w:tcPr>
          <w:p w14:paraId="1909F806"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convenios universidad empresa</w:t>
            </w:r>
          </w:p>
        </w:tc>
      </w:tr>
      <w:tr w:rsidR="00F45AD2" w:rsidRPr="008E6BB5" w14:paraId="6C2F92B4"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026D380D"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GENcom03</w:t>
            </w:r>
          </w:p>
        </w:tc>
        <w:tc>
          <w:tcPr>
            <w:tcW w:w="3900" w:type="dxa"/>
            <w:tcBorders>
              <w:top w:val="nil"/>
              <w:left w:val="nil"/>
              <w:bottom w:val="single" w:sz="4" w:space="0" w:color="auto"/>
              <w:right w:val="single" w:sz="4" w:space="0" w:color="auto"/>
            </w:tcBorders>
            <w:shd w:val="clear" w:color="auto" w:fill="auto"/>
            <w:vAlign w:val="center"/>
            <w:hideMark/>
          </w:tcPr>
          <w:p w14:paraId="330BF129"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Bases de datos en Excel</w:t>
            </w:r>
          </w:p>
        </w:tc>
      </w:tr>
      <w:tr w:rsidR="00F45AD2" w:rsidRPr="008E6BB5" w14:paraId="0569B562"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781BE7F1"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GENcom04</w:t>
            </w:r>
          </w:p>
        </w:tc>
        <w:tc>
          <w:tcPr>
            <w:tcW w:w="3900" w:type="dxa"/>
            <w:tcBorders>
              <w:top w:val="nil"/>
              <w:left w:val="nil"/>
              <w:bottom w:val="single" w:sz="4" w:space="0" w:color="auto"/>
              <w:right w:val="single" w:sz="4" w:space="0" w:color="auto"/>
            </w:tcBorders>
            <w:shd w:val="clear" w:color="auto" w:fill="auto"/>
            <w:vAlign w:val="center"/>
            <w:hideMark/>
          </w:tcPr>
          <w:p w14:paraId="619DFFC3"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base de datos proyecto de empresa</w:t>
            </w:r>
          </w:p>
        </w:tc>
      </w:tr>
      <w:tr w:rsidR="00F45AD2" w:rsidRPr="008E6BB5" w14:paraId="60667730"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43602666"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GENcom05</w:t>
            </w:r>
          </w:p>
        </w:tc>
        <w:tc>
          <w:tcPr>
            <w:tcW w:w="3900" w:type="dxa"/>
            <w:tcBorders>
              <w:top w:val="nil"/>
              <w:left w:val="nil"/>
              <w:bottom w:val="single" w:sz="4" w:space="0" w:color="auto"/>
              <w:right w:val="single" w:sz="4" w:space="0" w:color="auto"/>
            </w:tcBorders>
            <w:shd w:val="clear" w:color="auto" w:fill="auto"/>
            <w:vAlign w:val="center"/>
            <w:hideMark/>
          </w:tcPr>
          <w:p w14:paraId="5AAE00ED"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base de datos trazabilidad egresados</w:t>
            </w:r>
          </w:p>
        </w:tc>
      </w:tr>
      <w:tr w:rsidR="00F45AD2" w:rsidRPr="008E6BB5" w14:paraId="0A4FE378"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4647"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4. Interiorización</w:t>
            </w:r>
          </w:p>
        </w:tc>
      </w:tr>
      <w:tr w:rsidR="00F45AD2" w:rsidRPr="008E6BB5" w14:paraId="736E12FC"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D6259F" w14:textId="77777777" w:rsidR="00F45AD2" w:rsidRPr="008E6BB5" w:rsidRDefault="00F45AD2" w:rsidP="002A201F">
            <w:pPr>
              <w:spacing w:after="0" w:line="240" w:lineRule="auto"/>
              <w:jc w:val="center"/>
              <w:rPr>
                <w:rFonts w:ascii="Times New Roman" w:hAnsi="Times New Roman"/>
                <w:color w:val="000000"/>
                <w:sz w:val="20"/>
                <w:szCs w:val="20"/>
                <w:lang w:val="es-CO"/>
              </w:rPr>
            </w:pPr>
            <w:r w:rsidRPr="008E6BB5">
              <w:rPr>
                <w:rFonts w:ascii="Times New Roman" w:hAnsi="Times New Roman"/>
                <w:color w:val="000000"/>
                <w:sz w:val="20"/>
                <w:szCs w:val="20"/>
                <w:lang w:val="es-CO"/>
              </w:rPr>
              <w:t>Se publica continuamente la información externe e interna.</w:t>
            </w:r>
          </w:p>
        </w:tc>
      </w:tr>
      <w:tr w:rsidR="00F45AD2" w:rsidRPr="008E6BB5" w14:paraId="10F8750E"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60DB3FA9"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GENint01</w:t>
            </w:r>
          </w:p>
        </w:tc>
        <w:tc>
          <w:tcPr>
            <w:tcW w:w="3900" w:type="dxa"/>
            <w:tcBorders>
              <w:top w:val="nil"/>
              <w:left w:val="nil"/>
              <w:bottom w:val="single" w:sz="4" w:space="0" w:color="auto"/>
              <w:right w:val="single" w:sz="4" w:space="0" w:color="auto"/>
            </w:tcBorders>
            <w:shd w:val="clear" w:color="auto" w:fill="auto"/>
            <w:vAlign w:val="center"/>
            <w:hideMark/>
          </w:tcPr>
          <w:p w14:paraId="562628CF"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No se publica</w:t>
            </w:r>
          </w:p>
        </w:tc>
      </w:tr>
      <w:tr w:rsidR="00F45AD2" w:rsidRPr="008E6BB5" w14:paraId="0983A4B7"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26AF441F"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GENint02</w:t>
            </w:r>
          </w:p>
        </w:tc>
        <w:tc>
          <w:tcPr>
            <w:tcW w:w="3900" w:type="dxa"/>
            <w:tcBorders>
              <w:top w:val="nil"/>
              <w:left w:val="nil"/>
              <w:bottom w:val="single" w:sz="4" w:space="0" w:color="auto"/>
              <w:right w:val="single" w:sz="4" w:space="0" w:color="auto"/>
            </w:tcBorders>
            <w:shd w:val="clear" w:color="auto" w:fill="auto"/>
            <w:vAlign w:val="center"/>
            <w:hideMark/>
          </w:tcPr>
          <w:p w14:paraId="2CD52F48"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revista interna</w:t>
            </w:r>
          </w:p>
        </w:tc>
      </w:tr>
      <w:tr w:rsidR="00F45AD2" w:rsidRPr="008E6BB5" w14:paraId="1027951C"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1A52C5DE"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GENint03</w:t>
            </w:r>
          </w:p>
        </w:tc>
        <w:tc>
          <w:tcPr>
            <w:tcW w:w="3900" w:type="dxa"/>
            <w:tcBorders>
              <w:top w:val="nil"/>
              <w:left w:val="nil"/>
              <w:bottom w:val="single" w:sz="4" w:space="0" w:color="auto"/>
              <w:right w:val="single" w:sz="4" w:space="0" w:color="auto"/>
            </w:tcBorders>
            <w:shd w:val="clear" w:color="auto" w:fill="auto"/>
            <w:vAlign w:val="center"/>
            <w:hideMark/>
          </w:tcPr>
          <w:p w14:paraId="747D90C4"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blogs, chat</w:t>
            </w:r>
          </w:p>
        </w:tc>
      </w:tr>
      <w:tr w:rsidR="00F45AD2" w:rsidRPr="008E6BB5" w14:paraId="1512F177"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599007D8"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GENint04</w:t>
            </w:r>
          </w:p>
        </w:tc>
        <w:tc>
          <w:tcPr>
            <w:tcW w:w="3900" w:type="dxa"/>
            <w:tcBorders>
              <w:top w:val="nil"/>
              <w:left w:val="nil"/>
              <w:bottom w:val="single" w:sz="4" w:space="0" w:color="auto"/>
              <w:right w:val="single" w:sz="4" w:space="0" w:color="auto"/>
            </w:tcBorders>
            <w:shd w:val="clear" w:color="auto" w:fill="auto"/>
            <w:vAlign w:val="center"/>
            <w:hideMark/>
          </w:tcPr>
          <w:p w14:paraId="0589DDE9"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sistema de calidad interno y matricial</w:t>
            </w:r>
          </w:p>
        </w:tc>
      </w:tr>
      <w:tr w:rsidR="00F45AD2" w:rsidRPr="008E6BB5" w14:paraId="3DCC3330" w14:textId="77777777" w:rsidTr="002A201F">
        <w:trPr>
          <w:trHeight w:val="20"/>
        </w:trPr>
        <w:tc>
          <w:tcPr>
            <w:tcW w:w="5080" w:type="dxa"/>
            <w:tcBorders>
              <w:top w:val="nil"/>
              <w:left w:val="single" w:sz="4" w:space="0" w:color="auto"/>
              <w:bottom w:val="single" w:sz="4" w:space="0" w:color="auto"/>
              <w:right w:val="single" w:sz="4" w:space="0" w:color="auto"/>
            </w:tcBorders>
            <w:shd w:val="clear" w:color="auto" w:fill="auto"/>
            <w:vAlign w:val="center"/>
            <w:hideMark/>
          </w:tcPr>
          <w:p w14:paraId="12C61017"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GENint05</w:t>
            </w:r>
          </w:p>
        </w:tc>
        <w:tc>
          <w:tcPr>
            <w:tcW w:w="3900" w:type="dxa"/>
            <w:tcBorders>
              <w:top w:val="nil"/>
              <w:left w:val="nil"/>
              <w:bottom w:val="single" w:sz="4" w:space="0" w:color="auto"/>
              <w:right w:val="single" w:sz="4" w:space="0" w:color="auto"/>
            </w:tcBorders>
            <w:shd w:val="clear" w:color="auto" w:fill="auto"/>
            <w:vAlign w:val="center"/>
            <w:hideMark/>
          </w:tcPr>
          <w:p w14:paraId="5363FC20" w14:textId="77777777" w:rsidR="00F45AD2" w:rsidRPr="008E6BB5" w:rsidRDefault="00F45AD2" w:rsidP="002A201F">
            <w:pPr>
              <w:spacing w:after="0" w:line="240" w:lineRule="auto"/>
              <w:rPr>
                <w:rFonts w:ascii="Times New Roman" w:hAnsi="Times New Roman"/>
                <w:color w:val="000000"/>
                <w:sz w:val="20"/>
                <w:szCs w:val="20"/>
                <w:lang w:val="es-CO"/>
              </w:rPr>
            </w:pPr>
            <w:r w:rsidRPr="008E6BB5">
              <w:rPr>
                <w:rFonts w:ascii="Times New Roman" w:hAnsi="Times New Roman"/>
                <w:color w:val="000000"/>
                <w:sz w:val="20"/>
                <w:szCs w:val="20"/>
                <w:lang w:val="es-CO"/>
              </w:rPr>
              <w:t>En plataforma interna</w:t>
            </w:r>
          </w:p>
        </w:tc>
      </w:tr>
    </w:tbl>
    <w:p w14:paraId="5DD490ED" w14:textId="77777777" w:rsidR="00F45AD2" w:rsidRDefault="00F45AD2" w:rsidP="00F45AD2">
      <w:pPr>
        <w:spacing w:after="120" w:line="240" w:lineRule="auto"/>
        <w:ind w:right="48"/>
        <w:jc w:val="both"/>
        <w:rPr>
          <w:rFonts w:ascii="Times New Roman" w:eastAsia="Cambria" w:hAnsi="Times New Roman"/>
          <w:sz w:val="24"/>
          <w:szCs w:val="24"/>
        </w:rPr>
      </w:pPr>
    </w:p>
    <w:p w14:paraId="3EC8C1CB" w14:textId="77777777" w:rsidR="00F45AD2" w:rsidRDefault="00F45AD2" w:rsidP="00F45AD2">
      <w:pPr>
        <w:spacing w:after="120" w:line="240" w:lineRule="auto"/>
        <w:ind w:right="48"/>
        <w:jc w:val="both"/>
        <w:rPr>
          <w:rFonts w:ascii="Times New Roman" w:eastAsia="Cambria" w:hAnsi="Times New Roman"/>
          <w:sz w:val="24"/>
          <w:szCs w:val="24"/>
        </w:rPr>
      </w:pPr>
      <w:r>
        <w:rPr>
          <w:rFonts w:ascii="Times New Roman" w:eastAsia="Cambria" w:hAnsi="Times New Roman"/>
          <w:sz w:val="24"/>
          <w:szCs w:val="24"/>
        </w:rPr>
        <w:t xml:space="preserve">c. En cuanto a la transferencia de conocimiento las preguntas abordadas se basaron en las teorías comunicacionales en la gestión del conocimiento desarrolladas por Gupta y </w:t>
      </w:r>
      <w:proofErr w:type="spellStart"/>
      <w:r>
        <w:rPr>
          <w:rFonts w:ascii="Times New Roman" w:eastAsia="Cambria" w:hAnsi="Times New Roman"/>
          <w:sz w:val="24"/>
          <w:szCs w:val="24"/>
        </w:rPr>
        <w:t>Govindarajan</w:t>
      </w:r>
      <w:proofErr w:type="spellEnd"/>
      <w:r>
        <w:rPr>
          <w:rFonts w:ascii="Times New Roman" w:eastAsia="Cambria" w:hAnsi="Times New Roman"/>
          <w:sz w:val="24"/>
          <w:szCs w:val="24"/>
        </w:rPr>
        <w:t>, (2000).</w:t>
      </w:r>
    </w:p>
    <w:tbl>
      <w:tblPr>
        <w:tblW w:w="8980" w:type="dxa"/>
        <w:tblInd w:w="-5" w:type="dxa"/>
        <w:tblLook w:val="04A0" w:firstRow="1" w:lastRow="0" w:firstColumn="1" w:lastColumn="0" w:noHBand="0" w:noVBand="1"/>
      </w:tblPr>
      <w:tblGrid>
        <w:gridCol w:w="3119"/>
        <w:gridCol w:w="5861"/>
      </w:tblGrid>
      <w:tr w:rsidR="00F45AD2" w:rsidRPr="004B497C" w14:paraId="66C2EB56"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000000"/>
            </w:tcBorders>
            <w:shd w:val="clear" w:color="000000" w:fill="D0CECE"/>
            <w:noWrap/>
            <w:vAlign w:val="bottom"/>
            <w:hideMark/>
          </w:tcPr>
          <w:p w14:paraId="36BF5F97" w14:textId="77777777" w:rsidR="00F45AD2" w:rsidRPr="004B497C" w:rsidRDefault="00F45AD2" w:rsidP="002A201F">
            <w:pPr>
              <w:spacing w:after="0" w:line="240" w:lineRule="auto"/>
              <w:jc w:val="center"/>
              <w:rPr>
                <w:rFonts w:ascii="Times New Roman" w:hAnsi="Times New Roman"/>
                <w:b/>
                <w:bCs/>
                <w:color w:val="000000"/>
                <w:sz w:val="20"/>
                <w:szCs w:val="20"/>
                <w:lang w:val="es-CO"/>
              </w:rPr>
            </w:pPr>
            <w:r w:rsidRPr="004B497C">
              <w:rPr>
                <w:rFonts w:ascii="Times New Roman" w:hAnsi="Times New Roman"/>
                <w:b/>
                <w:bCs/>
                <w:color w:val="000000"/>
                <w:sz w:val="20"/>
                <w:szCs w:val="20"/>
                <w:lang w:val="es-CO"/>
              </w:rPr>
              <w:t>TRANSFERENCIA DE CONOCIMIENTO</w:t>
            </w:r>
          </w:p>
        </w:tc>
      </w:tr>
      <w:tr w:rsidR="00F45AD2" w:rsidRPr="004B497C" w14:paraId="77DC7E65"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5ECB2705"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1. Disposición</w:t>
            </w:r>
          </w:p>
        </w:tc>
        <w:tc>
          <w:tcPr>
            <w:tcW w:w="5861" w:type="dxa"/>
            <w:tcBorders>
              <w:top w:val="nil"/>
              <w:left w:val="nil"/>
              <w:bottom w:val="single" w:sz="4" w:space="0" w:color="auto"/>
              <w:right w:val="single" w:sz="4" w:space="0" w:color="auto"/>
            </w:tcBorders>
            <w:shd w:val="clear" w:color="auto" w:fill="EEECE1" w:themeFill="background2"/>
            <w:noWrap/>
            <w:vAlign w:val="bottom"/>
            <w:hideMark/>
          </w:tcPr>
          <w:p w14:paraId="32A4D06C"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 </w:t>
            </w:r>
          </w:p>
        </w:tc>
      </w:tr>
      <w:tr w:rsidR="00F45AD2" w:rsidRPr="004B497C" w14:paraId="7DA24886"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E9ED9D"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TRANSdisp01</w:t>
            </w:r>
          </w:p>
        </w:tc>
        <w:tc>
          <w:tcPr>
            <w:tcW w:w="5861" w:type="dxa"/>
            <w:tcBorders>
              <w:top w:val="nil"/>
              <w:left w:val="nil"/>
              <w:bottom w:val="single" w:sz="4" w:space="0" w:color="auto"/>
              <w:right w:val="single" w:sz="4" w:space="0" w:color="auto"/>
            </w:tcBorders>
            <w:shd w:val="clear" w:color="auto" w:fill="auto"/>
            <w:vAlign w:val="center"/>
            <w:hideMark/>
          </w:tcPr>
          <w:p w14:paraId="094D82DF"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Existe disposición de estudiantes de semestres mayores</w:t>
            </w:r>
          </w:p>
        </w:tc>
      </w:tr>
      <w:tr w:rsidR="00F45AD2" w:rsidRPr="004B497C" w14:paraId="2C05C2B9"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C540A1"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TRANSdisp02</w:t>
            </w:r>
          </w:p>
        </w:tc>
        <w:tc>
          <w:tcPr>
            <w:tcW w:w="5861" w:type="dxa"/>
            <w:tcBorders>
              <w:top w:val="nil"/>
              <w:left w:val="nil"/>
              <w:bottom w:val="single" w:sz="4" w:space="0" w:color="auto"/>
              <w:right w:val="single" w:sz="4" w:space="0" w:color="auto"/>
            </w:tcBorders>
            <w:shd w:val="clear" w:color="auto" w:fill="auto"/>
            <w:vAlign w:val="center"/>
            <w:hideMark/>
          </w:tcPr>
          <w:p w14:paraId="0B4D3563"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Depende del tamaño de la empresa</w:t>
            </w:r>
          </w:p>
        </w:tc>
      </w:tr>
      <w:tr w:rsidR="00F45AD2" w:rsidRPr="004B497C" w14:paraId="0BE13313"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0C100A"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TRANSdisp03</w:t>
            </w:r>
          </w:p>
        </w:tc>
        <w:tc>
          <w:tcPr>
            <w:tcW w:w="5861" w:type="dxa"/>
            <w:tcBorders>
              <w:top w:val="nil"/>
              <w:left w:val="nil"/>
              <w:bottom w:val="single" w:sz="4" w:space="0" w:color="auto"/>
              <w:right w:val="single" w:sz="4" w:space="0" w:color="auto"/>
            </w:tcBorders>
            <w:shd w:val="clear" w:color="auto" w:fill="auto"/>
            <w:vAlign w:val="center"/>
            <w:hideMark/>
          </w:tcPr>
          <w:p w14:paraId="0DD051DD"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Depende de tener un buen tutor empresarial</w:t>
            </w:r>
          </w:p>
        </w:tc>
      </w:tr>
      <w:tr w:rsidR="00F45AD2" w:rsidRPr="004B497C" w14:paraId="66D3EDC6"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97124AF"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TRANSdisp04</w:t>
            </w:r>
          </w:p>
        </w:tc>
        <w:tc>
          <w:tcPr>
            <w:tcW w:w="5861" w:type="dxa"/>
            <w:tcBorders>
              <w:top w:val="nil"/>
              <w:left w:val="nil"/>
              <w:bottom w:val="single" w:sz="4" w:space="0" w:color="auto"/>
              <w:right w:val="single" w:sz="4" w:space="0" w:color="auto"/>
            </w:tcBorders>
            <w:shd w:val="clear" w:color="auto" w:fill="auto"/>
            <w:vAlign w:val="center"/>
            <w:hideMark/>
          </w:tcPr>
          <w:p w14:paraId="64994409"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Existe disposición de los empresarios</w:t>
            </w:r>
          </w:p>
        </w:tc>
      </w:tr>
      <w:tr w:rsidR="00F45AD2" w:rsidRPr="004B497C" w14:paraId="567A8158"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B55C355"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TRANSdisp05</w:t>
            </w:r>
          </w:p>
        </w:tc>
        <w:tc>
          <w:tcPr>
            <w:tcW w:w="5861" w:type="dxa"/>
            <w:tcBorders>
              <w:top w:val="nil"/>
              <w:left w:val="nil"/>
              <w:bottom w:val="single" w:sz="4" w:space="0" w:color="auto"/>
              <w:right w:val="single" w:sz="4" w:space="0" w:color="auto"/>
            </w:tcBorders>
            <w:shd w:val="clear" w:color="auto" w:fill="auto"/>
            <w:vAlign w:val="center"/>
            <w:hideMark/>
          </w:tcPr>
          <w:p w14:paraId="54337E20"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Depende de la intensión del estudiante</w:t>
            </w:r>
          </w:p>
        </w:tc>
      </w:tr>
      <w:tr w:rsidR="00F45AD2" w:rsidRPr="004B497C" w14:paraId="66639061" w14:textId="77777777" w:rsidTr="002A201F">
        <w:trPr>
          <w:trHeight w:val="20"/>
        </w:trPr>
        <w:tc>
          <w:tcPr>
            <w:tcW w:w="8980" w:type="dxa"/>
            <w:gridSpan w:val="2"/>
            <w:tcBorders>
              <w:top w:val="single" w:sz="4" w:space="0" w:color="auto"/>
              <w:left w:val="single" w:sz="4" w:space="0" w:color="auto"/>
              <w:bottom w:val="single" w:sz="4" w:space="0" w:color="auto"/>
              <w:right w:val="nil"/>
            </w:tcBorders>
            <w:shd w:val="clear" w:color="auto" w:fill="EEECE1" w:themeFill="background2"/>
            <w:noWrap/>
            <w:vAlign w:val="bottom"/>
            <w:hideMark/>
          </w:tcPr>
          <w:p w14:paraId="34C0E024"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2. Existencia y permanencia</w:t>
            </w:r>
          </w:p>
        </w:tc>
      </w:tr>
      <w:tr w:rsidR="00F45AD2" w:rsidRPr="004B497C" w14:paraId="5D589398" w14:textId="77777777" w:rsidTr="002A201F">
        <w:trPr>
          <w:trHeight w:val="20"/>
        </w:trPr>
        <w:tc>
          <w:tcPr>
            <w:tcW w:w="8980" w:type="dxa"/>
            <w:gridSpan w:val="2"/>
            <w:tcBorders>
              <w:top w:val="nil"/>
              <w:left w:val="single" w:sz="4" w:space="0" w:color="auto"/>
              <w:bottom w:val="single" w:sz="4" w:space="0" w:color="auto"/>
              <w:right w:val="single" w:sz="4" w:space="0" w:color="auto"/>
            </w:tcBorders>
            <w:shd w:val="clear" w:color="auto" w:fill="auto"/>
            <w:vAlign w:val="center"/>
            <w:hideMark/>
          </w:tcPr>
          <w:p w14:paraId="14A6C823"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¿Existen canales de transmisión de conocimiento?</w:t>
            </w:r>
          </w:p>
        </w:tc>
      </w:tr>
      <w:tr w:rsidR="00F45AD2" w:rsidRPr="004B497C" w14:paraId="2185F4B7"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A2326DB"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TRANSep01</w:t>
            </w:r>
          </w:p>
        </w:tc>
        <w:tc>
          <w:tcPr>
            <w:tcW w:w="5861" w:type="dxa"/>
            <w:tcBorders>
              <w:top w:val="nil"/>
              <w:left w:val="nil"/>
              <w:bottom w:val="single" w:sz="4" w:space="0" w:color="auto"/>
              <w:right w:val="single" w:sz="4" w:space="0" w:color="auto"/>
            </w:tcBorders>
            <w:shd w:val="clear" w:color="auto" w:fill="auto"/>
            <w:vAlign w:val="center"/>
            <w:hideMark/>
          </w:tcPr>
          <w:p w14:paraId="219663F8"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informales entre estudiantes</w:t>
            </w:r>
          </w:p>
        </w:tc>
      </w:tr>
      <w:tr w:rsidR="00F45AD2" w:rsidRPr="004B497C" w14:paraId="1F14D971"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B09DF3B"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TRANSep02</w:t>
            </w:r>
          </w:p>
        </w:tc>
        <w:tc>
          <w:tcPr>
            <w:tcW w:w="5861" w:type="dxa"/>
            <w:tcBorders>
              <w:top w:val="nil"/>
              <w:left w:val="nil"/>
              <w:bottom w:val="single" w:sz="4" w:space="0" w:color="auto"/>
              <w:right w:val="single" w:sz="4" w:space="0" w:color="auto"/>
            </w:tcBorders>
            <w:shd w:val="clear" w:color="auto" w:fill="auto"/>
            <w:vAlign w:val="center"/>
            <w:hideMark/>
          </w:tcPr>
          <w:p w14:paraId="34C5B09A"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página web institucional</w:t>
            </w:r>
          </w:p>
        </w:tc>
      </w:tr>
      <w:tr w:rsidR="00F45AD2" w:rsidRPr="004B497C" w14:paraId="383B6CD7"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E68130"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TRANSep03</w:t>
            </w:r>
          </w:p>
        </w:tc>
        <w:tc>
          <w:tcPr>
            <w:tcW w:w="5861" w:type="dxa"/>
            <w:tcBorders>
              <w:top w:val="nil"/>
              <w:left w:val="nil"/>
              <w:bottom w:val="single" w:sz="4" w:space="0" w:color="auto"/>
              <w:right w:val="single" w:sz="4" w:space="0" w:color="auto"/>
            </w:tcBorders>
            <w:shd w:val="clear" w:color="auto" w:fill="auto"/>
            <w:vAlign w:val="center"/>
            <w:hideMark/>
          </w:tcPr>
          <w:p w14:paraId="0EF71709"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catálogo de competencias</w:t>
            </w:r>
          </w:p>
        </w:tc>
      </w:tr>
      <w:tr w:rsidR="00F45AD2" w:rsidRPr="004B497C" w14:paraId="2F15C81F"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CB5343"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TRANSep04</w:t>
            </w:r>
          </w:p>
        </w:tc>
        <w:tc>
          <w:tcPr>
            <w:tcW w:w="5861" w:type="dxa"/>
            <w:tcBorders>
              <w:top w:val="nil"/>
              <w:left w:val="nil"/>
              <w:bottom w:val="single" w:sz="4" w:space="0" w:color="auto"/>
              <w:right w:val="single" w:sz="4" w:space="0" w:color="auto"/>
            </w:tcBorders>
            <w:shd w:val="clear" w:color="auto" w:fill="auto"/>
            <w:vAlign w:val="center"/>
            <w:hideMark/>
          </w:tcPr>
          <w:p w14:paraId="45462567"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plataforma interna</w:t>
            </w:r>
          </w:p>
        </w:tc>
      </w:tr>
      <w:tr w:rsidR="00F45AD2" w:rsidRPr="004B497C" w14:paraId="39A9648D"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1AB0FB8"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TRANSep05</w:t>
            </w:r>
          </w:p>
        </w:tc>
        <w:tc>
          <w:tcPr>
            <w:tcW w:w="5861" w:type="dxa"/>
            <w:tcBorders>
              <w:top w:val="nil"/>
              <w:left w:val="nil"/>
              <w:bottom w:val="single" w:sz="4" w:space="0" w:color="auto"/>
              <w:right w:val="single" w:sz="4" w:space="0" w:color="auto"/>
            </w:tcBorders>
            <w:shd w:val="clear" w:color="auto" w:fill="auto"/>
            <w:vAlign w:val="center"/>
            <w:hideMark/>
          </w:tcPr>
          <w:p w14:paraId="4A870A77"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informe</w:t>
            </w:r>
          </w:p>
        </w:tc>
      </w:tr>
      <w:tr w:rsidR="00F45AD2" w:rsidRPr="004B497C" w14:paraId="72910994"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000000"/>
            </w:tcBorders>
            <w:shd w:val="clear" w:color="auto" w:fill="EEECE1" w:themeFill="background2"/>
            <w:vAlign w:val="center"/>
            <w:hideMark/>
          </w:tcPr>
          <w:p w14:paraId="32834F96"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3. Grado de uso</w:t>
            </w:r>
          </w:p>
        </w:tc>
      </w:tr>
      <w:tr w:rsidR="00F45AD2" w:rsidRPr="004B497C" w14:paraId="69C87854"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2955AC" w14:textId="0CC258BD" w:rsidR="00F45AD2" w:rsidRPr="004B497C" w:rsidRDefault="00F45AD2" w:rsidP="002A201F">
            <w:pPr>
              <w:spacing w:after="0" w:line="240" w:lineRule="auto"/>
              <w:rPr>
                <w:rFonts w:ascii="Times New Roman" w:hAnsi="Times New Roman"/>
                <w:color w:val="000000"/>
                <w:sz w:val="20"/>
                <w:szCs w:val="20"/>
                <w:lang w:val="es-CO"/>
              </w:rPr>
            </w:pPr>
            <w:bookmarkStart w:id="1" w:name="_GoBack"/>
            <w:bookmarkEnd w:id="1"/>
            <w:r w:rsidRPr="004B497C">
              <w:rPr>
                <w:rFonts w:ascii="Times New Roman" w:hAnsi="Times New Roman"/>
                <w:color w:val="000000"/>
                <w:sz w:val="20"/>
                <w:szCs w:val="20"/>
                <w:lang w:val="es-CO"/>
              </w:rPr>
              <w:t>¿Como se usa el conocimiento que se extrae de la empresa en el aula y como del aula vuelve a la empresa?</w:t>
            </w:r>
          </w:p>
        </w:tc>
      </w:tr>
      <w:tr w:rsidR="00F45AD2" w:rsidRPr="004B497C" w14:paraId="7BC401E3"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ABD2E58"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TRANSuso01</w:t>
            </w:r>
          </w:p>
        </w:tc>
        <w:tc>
          <w:tcPr>
            <w:tcW w:w="5861" w:type="dxa"/>
            <w:tcBorders>
              <w:top w:val="nil"/>
              <w:left w:val="nil"/>
              <w:bottom w:val="single" w:sz="4" w:space="0" w:color="auto"/>
              <w:right w:val="single" w:sz="4" w:space="0" w:color="auto"/>
            </w:tcBorders>
            <w:shd w:val="clear" w:color="auto" w:fill="auto"/>
            <w:vAlign w:val="center"/>
            <w:hideMark/>
          </w:tcPr>
          <w:p w14:paraId="56A7BB29"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Existe gran diferencia entre los dos conocimientos</w:t>
            </w:r>
          </w:p>
        </w:tc>
      </w:tr>
      <w:tr w:rsidR="00F45AD2" w:rsidRPr="004B497C" w14:paraId="0BE2E6B1"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89542F"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lastRenderedPageBreak/>
              <w:t>TRANSuso02</w:t>
            </w:r>
          </w:p>
        </w:tc>
        <w:tc>
          <w:tcPr>
            <w:tcW w:w="5861" w:type="dxa"/>
            <w:tcBorders>
              <w:top w:val="nil"/>
              <w:left w:val="nil"/>
              <w:bottom w:val="single" w:sz="4" w:space="0" w:color="auto"/>
              <w:right w:val="single" w:sz="4" w:space="0" w:color="auto"/>
            </w:tcBorders>
            <w:shd w:val="clear" w:color="auto" w:fill="auto"/>
            <w:vAlign w:val="center"/>
            <w:hideMark/>
          </w:tcPr>
          <w:p w14:paraId="146F4626"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Medición de variables en empresa que no se tienen en cuenta en el aula</w:t>
            </w:r>
          </w:p>
        </w:tc>
      </w:tr>
      <w:tr w:rsidR="00F45AD2" w:rsidRPr="004B497C" w14:paraId="2138C086"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B8C156"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TRANSuso03</w:t>
            </w:r>
          </w:p>
        </w:tc>
        <w:tc>
          <w:tcPr>
            <w:tcW w:w="5861" w:type="dxa"/>
            <w:tcBorders>
              <w:top w:val="nil"/>
              <w:left w:val="nil"/>
              <w:bottom w:val="single" w:sz="4" w:space="0" w:color="auto"/>
              <w:right w:val="single" w:sz="4" w:space="0" w:color="auto"/>
            </w:tcBorders>
            <w:shd w:val="clear" w:color="auto" w:fill="auto"/>
            <w:vAlign w:val="center"/>
            <w:hideMark/>
          </w:tcPr>
          <w:p w14:paraId="3CDDBA16"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Plan de mejora</w:t>
            </w:r>
          </w:p>
        </w:tc>
      </w:tr>
      <w:tr w:rsidR="00F45AD2" w:rsidRPr="004B497C" w14:paraId="4B0A9248"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93EA90D"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TRANSuso04</w:t>
            </w:r>
          </w:p>
        </w:tc>
        <w:tc>
          <w:tcPr>
            <w:tcW w:w="5861" w:type="dxa"/>
            <w:tcBorders>
              <w:top w:val="nil"/>
              <w:left w:val="nil"/>
              <w:bottom w:val="single" w:sz="4" w:space="0" w:color="auto"/>
              <w:right w:val="single" w:sz="4" w:space="0" w:color="auto"/>
            </w:tcBorders>
            <w:shd w:val="clear" w:color="auto" w:fill="auto"/>
            <w:vAlign w:val="center"/>
            <w:hideMark/>
          </w:tcPr>
          <w:p w14:paraId="13E81F6F"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Plan de rotación</w:t>
            </w:r>
          </w:p>
        </w:tc>
      </w:tr>
      <w:tr w:rsidR="00F45AD2" w:rsidRPr="004B497C" w14:paraId="02CA1E1E"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F9AAD65"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TRANSuso05</w:t>
            </w:r>
          </w:p>
        </w:tc>
        <w:tc>
          <w:tcPr>
            <w:tcW w:w="5861" w:type="dxa"/>
            <w:tcBorders>
              <w:top w:val="single" w:sz="4" w:space="0" w:color="auto"/>
              <w:left w:val="nil"/>
              <w:bottom w:val="single" w:sz="4" w:space="0" w:color="auto"/>
              <w:right w:val="single" w:sz="4" w:space="0" w:color="auto"/>
            </w:tcBorders>
            <w:shd w:val="clear" w:color="auto" w:fill="auto"/>
            <w:vAlign w:val="center"/>
            <w:hideMark/>
          </w:tcPr>
          <w:p w14:paraId="1BFAE259"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preguntas en clase</w:t>
            </w:r>
          </w:p>
        </w:tc>
      </w:tr>
      <w:tr w:rsidR="00F45AD2" w:rsidRPr="004B497C" w14:paraId="48840DB7"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EF217B4"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4. Valor del stock del conocimiento</w:t>
            </w:r>
          </w:p>
        </w:tc>
      </w:tr>
      <w:tr w:rsidR="00F45AD2" w:rsidRPr="004B497C" w14:paraId="10D65BF3" w14:textId="77777777" w:rsidTr="002A201F">
        <w:trPr>
          <w:trHeight w:val="20"/>
        </w:trPr>
        <w:tc>
          <w:tcPr>
            <w:tcW w:w="8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0EEE3D" w14:textId="77777777" w:rsidR="00F45AD2" w:rsidRPr="004B497C" w:rsidRDefault="00F45AD2" w:rsidP="002A201F">
            <w:pPr>
              <w:spacing w:after="0" w:line="240" w:lineRule="auto"/>
              <w:rPr>
                <w:rFonts w:ascii="Times New Roman" w:hAnsi="Times New Roman"/>
                <w:color w:val="000000"/>
                <w:sz w:val="20"/>
                <w:szCs w:val="20"/>
                <w:lang w:val="es-CO"/>
              </w:rPr>
            </w:pPr>
            <w:r>
              <w:rPr>
                <w:rFonts w:ascii="Times New Roman" w:hAnsi="Times New Roman"/>
                <w:color w:val="000000"/>
                <w:sz w:val="20"/>
                <w:szCs w:val="20"/>
                <w:lang w:val="es-CO"/>
              </w:rPr>
              <w:t>¿</w:t>
            </w:r>
            <w:r w:rsidRPr="004B497C">
              <w:rPr>
                <w:rFonts w:ascii="Times New Roman" w:hAnsi="Times New Roman"/>
                <w:color w:val="000000"/>
                <w:sz w:val="20"/>
                <w:szCs w:val="20"/>
                <w:lang w:val="es-CO"/>
              </w:rPr>
              <w:t>Cuál es el conocimiento difer</w:t>
            </w:r>
            <w:r>
              <w:rPr>
                <w:rFonts w:ascii="Times New Roman" w:hAnsi="Times New Roman"/>
                <w:color w:val="000000"/>
                <w:sz w:val="20"/>
                <w:szCs w:val="20"/>
                <w:lang w:val="es-CO"/>
              </w:rPr>
              <w:t>encial que tiene la institución?</w:t>
            </w:r>
          </w:p>
        </w:tc>
      </w:tr>
      <w:tr w:rsidR="00F45AD2" w:rsidRPr="004B497C" w14:paraId="2E4CEE83"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A923F30"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TRANSvalor01</w:t>
            </w:r>
          </w:p>
        </w:tc>
        <w:tc>
          <w:tcPr>
            <w:tcW w:w="5861" w:type="dxa"/>
            <w:tcBorders>
              <w:top w:val="nil"/>
              <w:left w:val="nil"/>
              <w:bottom w:val="single" w:sz="4" w:space="0" w:color="auto"/>
              <w:right w:val="single" w:sz="4" w:space="0" w:color="auto"/>
            </w:tcBorders>
            <w:shd w:val="clear" w:color="auto" w:fill="auto"/>
            <w:vAlign w:val="center"/>
            <w:hideMark/>
          </w:tcPr>
          <w:p w14:paraId="278ED9F9"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conocimiento de las pymes</w:t>
            </w:r>
          </w:p>
        </w:tc>
      </w:tr>
      <w:tr w:rsidR="00F45AD2" w:rsidRPr="004B497C" w14:paraId="7DFF6AA9"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866F540"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TRANSvalor02</w:t>
            </w:r>
          </w:p>
        </w:tc>
        <w:tc>
          <w:tcPr>
            <w:tcW w:w="5861" w:type="dxa"/>
            <w:tcBorders>
              <w:top w:val="nil"/>
              <w:left w:val="nil"/>
              <w:bottom w:val="single" w:sz="4" w:space="0" w:color="auto"/>
              <w:right w:val="single" w:sz="4" w:space="0" w:color="auto"/>
            </w:tcBorders>
            <w:shd w:val="clear" w:color="auto" w:fill="auto"/>
            <w:vAlign w:val="center"/>
            <w:hideMark/>
          </w:tcPr>
          <w:p w14:paraId="00DB740B"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Inserción laboral a temprana edad</w:t>
            </w:r>
          </w:p>
        </w:tc>
      </w:tr>
      <w:tr w:rsidR="00F45AD2" w:rsidRPr="004B497C" w14:paraId="42D72006"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AABDD17"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TRANSvalor03</w:t>
            </w:r>
          </w:p>
        </w:tc>
        <w:tc>
          <w:tcPr>
            <w:tcW w:w="5861" w:type="dxa"/>
            <w:tcBorders>
              <w:top w:val="nil"/>
              <w:left w:val="nil"/>
              <w:bottom w:val="single" w:sz="4" w:space="0" w:color="auto"/>
              <w:right w:val="single" w:sz="4" w:space="0" w:color="auto"/>
            </w:tcBorders>
            <w:shd w:val="clear" w:color="auto" w:fill="auto"/>
            <w:vAlign w:val="center"/>
            <w:hideMark/>
          </w:tcPr>
          <w:p w14:paraId="3E4D9EF0"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tiempos de trabajo autónomo</w:t>
            </w:r>
          </w:p>
        </w:tc>
      </w:tr>
      <w:tr w:rsidR="00F45AD2" w:rsidRPr="004B497C" w14:paraId="019F987E"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F460EB"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TRANSvalor04</w:t>
            </w:r>
          </w:p>
        </w:tc>
        <w:tc>
          <w:tcPr>
            <w:tcW w:w="5861" w:type="dxa"/>
            <w:tcBorders>
              <w:top w:val="nil"/>
              <w:left w:val="nil"/>
              <w:bottom w:val="single" w:sz="4" w:space="0" w:color="auto"/>
              <w:right w:val="single" w:sz="4" w:space="0" w:color="auto"/>
            </w:tcBorders>
            <w:shd w:val="clear" w:color="auto" w:fill="auto"/>
            <w:vAlign w:val="center"/>
            <w:hideMark/>
          </w:tcPr>
          <w:p w14:paraId="2736EFF0"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componente empresarial</w:t>
            </w:r>
          </w:p>
        </w:tc>
      </w:tr>
      <w:tr w:rsidR="00F45AD2" w:rsidRPr="004B497C" w14:paraId="204DB3FA" w14:textId="77777777" w:rsidTr="002A201F">
        <w:trPr>
          <w:trHeight w:val="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2A9C621"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TRANSvalor05</w:t>
            </w:r>
          </w:p>
        </w:tc>
        <w:tc>
          <w:tcPr>
            <w:tcW w:w="5861" w:type="dxa"/>
            <w:tcBorders>
              <w:top w:val="nil"/>
              <w:left w:val="nil"/>
              <w:bottom w:val="single" w:sz="4" w:space="0" w:color="auto"/>
              <w:right w:val="single" w:sz="4" w:space="0" w:color="auto"/>
            </w:tcBorders>
            <w:shd w:val="clear" w:color="auto" w:fill="auto"/>
            <w:vAlign w:val="center"/>
            <w:hideMark/>
          </w:tcPr>
          <w:p w14:paraId="2622CE36" w14:textId="77777777" w:rsidR="00F45AD2" w:rsidRPr="004B497C" w:rsidRDefault="00F45AD2" w:rsidP="002A201F">
            <w:pPr>
              <w:spacing w:after="0" w:line="240" w:lineRule="auto"/>
              <w:rPr>
                <w:rFonts w:ascii="Times New Roman" w:hAnsi="Times New Roman"/>
                <w:color w:val="000000"/>
                <w:sz w:val="20"/>
                <w:szCs w:val="20"/>
                <w:lang w:val="es-CO"/>
              </w:rPr>
            </w:pPr>
            <w:r w:rsidRPr="004B497C">
              <w:rPr>
                <w:rFonts w:ascii="Times New Roman" w:hAnsi="Times New Roman"/>
                <w:color w:val="000000"/>
                <w:sz w:val="20"/>
                <w:szCs w:val="20"/>
                <w:lang w:val="es-CO"/>
              </w:rPr>
              <w:t>desarrollo de habilidades blandas</w:t>
            </w:r>
          </w:p>
        </w:tc>
      </w:tr>
    </w:tbl>
    <w:p w14:paraId="5FFE46CD" w14:textId="77777777" w:rsidR="00F45AD2" w:rsidRDefault="00F45AD2" w:rsidP="00F45AD2">
      <w:pPr>
        <w:spacing w:after="120" w:line="240" w:lineRule="auto"/>
        <w:ind w:right="48"/>
        <w:jc w:val="both"/>
        <w:rPr>
          <w:rFonts w:ascii="Times New Roman" w:eastAsia="Cambria" w:hAnsi="Times New Roman"/>
          <w:sz w:val="24"/>
          <w:szCs w:val="24"/>
        </w:rPr>
      </w:pPr>
    </w:p>
    <w:p w14:paraId="38EEFD2A" w14:textId="77777777" w:rsidR="00F45AD2" w:rsidRDefault="00F45AD2" w:rsidP="00F45AD2">
      <w:pPr>
        <w:spacing w:after="120" w:line="240" w:lineRule="auto"/>
        <w:ind w:right="48"/>
        <w:jc w:val="both"/>
        <w:rPr>
          <w:rFonts w:ascii="Times New Roman" w:eastAsia="Cambria" w:hAnsi="Times New Roman"/>
          <w:sz w:val="24"/>
          <w:szCs w:val="24"/>
        </w:rPr>
      </w:pPr>
      <w:r>
        <w:rPr>
          <w:rFonts w:ascii="Times New Roman" w:eastAsia="Cambria" w:hAnsi="Times New Roman"/>
          <w:sz w:val="24"/>
          <w:szCs w:val="24"/>
        </w:rPr>
        <w:t>Estas unidades de conocimiento, fueron agrupadas en categorías que explican los procesos de gestión y transferencia de conocimiento en la formación dual (gráfica 1)</w:t>
      </w:r>
    </w:p>
    <w:p w14:paraId="4373142B" w14:textId="77777777" w:rsidR="00F45AD2" w:rsidRPr="00F3164E" w:rsidRDefault="00F45AD2" w:rsidP="00F45AD2">
      <w:pPr>
        <w:spacing w:after="120" w:line="240" w:lineRule="auto"/>
        <w:ind w:right="48"/>
        <w:jc w:val="both"/>
        <w:rPr>
          <w:rFonts w:ascii="Times New Roman" w:eastAsia="Cambria" w:hAnsi="Times New Roman"/>
          <w:sz w:val="24"/>
          <w:szCs w:val="24"/>
        </w:rPr>
      </w:pPr>
    </w:p>
    <w:p w14:paraId="30D97C48" w14:textId="77777777" w:rsidR="00F45AD2" w:rsidRPr="00F3164E" w:rsidRDefault="00F45AD2" w:rsidP="00F45AD2">
      <w:pPr>
        <w:spacing w:after="0"/>
        <w:jc w:val="center"/>
        <w:rPr>
          <w:rFonts w:ascii="Times New Roman" w:hAnsi="Times New Roman"/>
          <w:sz w:val="24"/>
        </w:rPr>
      </w:pPr>
      <w:r w:rsidRPr="00F3164E">
        <w:rPr>
          <w:noProof/>
          <w:lang w:val="en-US"/>
        </w:rPr>
        <w:drawing>
          <wp:inline distT="0" distB="0" distL="0" distR="0" wp14:anchorId="2C28874E" wp14:editId="29DB776E">
            <wp:extent cx="5759450" cy="2453640"/>
            <wp:effectExtent l="0" t="0" r="1270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8194A6" w14:textId="77777777" w:rsidR="00F45AD2" w:rsidRPr="00F3164E" w:rsidRDefault="00F45AD2" w:rsidP="00F45AD2">
      <w:pPr>
        <w:spacing w:after="0"/>
        <w:jc w:val="center"/>
        <w:rPr>
          <w:rFonts w:ascii="Times New Roman" w:hAnsi="Times New Roman"/>
          <w:sz w:val="24"/>
        </w:rPr>
      </w:pPr>
      <w:r w:rsidRPr="00F3164E">
        <w:rPr>
          <w:rFonts w:ascii="Times New Roman" w:hAnsi="Times New Roman"/>
          <w:sz w:val="24"/>
        </w:rPr>
        <w:t>Gráfica 1. Códigos que más explican la Gestión y transferencia de Conocimiento</w:t>
      </w:r>
    </w:p>
    <w:p w14:paraId="60306A83" w14:textId="77777777" w:rsidR="00F45AD2" w:rsidRPr="00F3164E" w:rsidRDefault="00F45AD2" w:rsidP="00F45AD2">
      <w:pPr>
        <w:rPr>
          <w:rFonts w:ascii="Times New Roman" w:hAnsi="Times New Roman"/>
          <w:sz w:val="24"/>
        </w:rPr>
      </w:pPr>
    </w:p>
    <w:p w14:paraId="3C7304FF" w14:textId="77777777" w:rsidR="00F45AD2" w:rsidRPr="00F3164E" w:rsidRDefault="00F45AD2" w:rsidP="00F45AD2">
      <w:pPr>
        <w:jc w:val="both"/>
        <w:rPr>
          <w:rFonts w:ascii="Times New Roman" w:hAnsi="Times New Roman"/>
          <w:sz w:val="24"/>
        </w:rPr>
      </w:pPr>
      <w:r w:rsidRPr="00F3164E">
        <w:rPr>
          <w:rFonts w:ascii="Times New Roman" w:hAnsi="Times New Roman"/>
          <w:sz w:val="24"/>
        </w:rPr>
        <w:t>Encontrando en el stock de conocimiento el mayor diferencial y valor del modelo, así mismo el aprendizaje en la empresa, por otra parte, manifiestan que el tamaño de la empresa condiciona la posibilidad de aprendizaje que puedan tener los estudiantes, de igual manera refieren que existe un desnivel entre lo que se aprende en el aula y en la empresa por lo que se hace necesario integrar estos conocimientos.</w:t>
      </w:r>
    </w:p>
    <w:p w14:paraId="23938993" w14:textId="77777777" w:rsidR="00F45AD2" w:rsidRPr="00F3164E" w:rsidRDefault="00F45AD2" w:rsidP="00F45AD2">
      <w:pPr>
        <w:jc w:val="both"/>
        <w:rPr>
          <w:rFonts w:ascii="Times New Roman" w:hAnsi="Times New Roman"/>
          <w:sz w:val="24"/>
        </w:rPr>
      </w:pPr>
      <w:r w:rsidRPr="00F3164E">
        <w:rPr>
          <w:rFonts w:ascii="Times New Roman" w:hAnsi="Times New Roman"/>
          <w:sz w:val="24"/>
        </w:rPr>
        <w:t>Frente a los procesos que más generan conocimiento en la formación dual los informantes refieren</w:t>
      </w:r>
    </w:p>
    <w:p w14:paraId="6E118532" w14:textId="77777777" w:rsidR="00F45AD2" w:rsidRPr="00F3164E" w:rsidRDefault="00F45AD2" w:rsidP="00F45AD2">
      <w:pPr>
        <w:rPr>
          <w:rFonts w:ascii="Times New Roman" w:hAnsi="Times New Roman"/>
          <w:sz w:val="24"/>
        </w:rPr>
      </w:pPr>
      <w:r w:rsidRPr="00F3164E">
        <w:rPr>
          <w:noProof/>
          <w:lang w:val="en-US"/>
        </w:rPr>
        <w:lastRenderedPageBreak/>
        <w:drawing>
          <wp:inline distT="0" distB="0" distL="0" distR="0" wp14:anchorId="6381845C" wp14:editId="7ABFAF9C">
            <wp:extent cx="5759450" cy="2904134"/>
            <wp:effectExtent l="0" t="0" r="12700" b="1079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2FC33B" w14:textId="77777777" w:rsidR="00F45AD2" w:rsidRPr="00F3164E" w:rsidRDefault="00F45AD2" w:rsidP="00F45AD2">
      <w:pPr>
        <w:widowControl w:val="0"/>
        <w:pBdr>
          <w:top w:val="nil"/>
          <w:left w:val="nil"/>
          <w:bottom w:val="nil"/>
          <w:right w:val="nil"/>
          <w:between w:val="nil"/>
        </w:pBdr>
        <w:spacing w:after="0" w:line="240" w:lineRule="auto"/>
        <w:ind w:left="360"/>
        <w:contextualSpacing/>
        <w:jc w:val="both"/>
        <w:rPr>
          <w:rFonts w:ascii="Times New Roman" w:hAnsi="Times New Roman"/>
          <w:sz w:val="24"/>
          <w:szCs w:val="24"/>
        </w:rPr>
      </w:pPr>
      <w:r w:rsidRPr="00F3164E">
        <w:rPr>
          <w:rFonts w:ascii="Times New Roman" w:hAnsi="Times New Roman"/>
          <w:sz w:val="24"/>
          <w:szCs w:val="24"/>
        </w:rPr>
        <w:t>Gráfica 2. Procesos que generan conocimiento en la formación dual</w:t>
      </w:r>
    </w:p>
    <w:p w14:paraId="10616FD9" w14:textId="77777777" w:rsidR="00F45AD2" w:rsidRPr="00F3164E" w:rsidRDefault="00F45AD2" w:rsidP="00F45AD2">
      <w:pPr>
        <w:widowControl w:val="0"/>
        <w:pBdr>
          <w:top w:val="nil"/>
          <w:left w:val="nil"/>
          <w:bottom w:val="nil"/>
          <w:right w:val="nil"/>
          <w:between w:val="nil"/>
        </w:pBdr>
        <w:spacing w:after="0" w:line="240" w:lineRule="auto"/>
        <w:ind w:left="360"/>
        <w:contextualSpacing/>
        <w:jc w:val="both"/>
        <w:rPr>
          <w:rFonts w:ascii="Times New Roman" w:hAnsi="Times New Roman"/>
          <w:sz w:val="24"/>
          <w:szCs w:val="24"/>
        </w:rPr>
      </w:pPr>
    </w:p>
    <w:p w14:paraId="050CA144" w14:textId="77777777" w:rsidR="00F45AD2" w:rsidRPr="00F3164E" w:rsidRDefault="00F45AD2" w:rsidP="00F45AD2">
      <w:pPr>
        <w:widowControl w:val="0"/>
        <w:pBdr>
          <w:top w:val="nil"/>
          <w:left w:val="nil"/>
          <w:bottom w:val="nil"/>
          <w:right w:val="nil"/>
          <w:between w:val="nil"/>
        </w:pBdr>
        <w:spacing w:after="0" w:line="240" w:lineRule="auto"/>
        <w:ind w:left="360"/>
        <w:contextualSpacing/>
        <w:jc w:val="both"/>
        <w:rPr>
          <w:rFonts w:ascii="Times New Roman" w:hAnsi="Times New Roman"/>
          <w:sz w:val="24"/>
          <w:szCs w:val="24"/>
        </w:rPr>
      </w:pPr>
      <w:r w:rsidRPr="00F3164E">
        <w:rPr>
          <w:rFonts w:ascii="Times New Roman" w:hAnsi="Times New Roman"/>
          <w:sz w:val="24"/>
          <w:szCs w:val="24"/>
        </w:rPr>
        <w:t>Los proyectos de mejora en la empresa son considerados como el p</w:t>
      </w:r>
      <w:r>
        <w:rPr>
          <w:rFonts w:ascii="Times New Roman" w:hAnsi="Times New Roman"/>
          <w:sz w:val="24"/>
          <w:szCs w:val="24"/>
        </w:rPr>
        <w:t>roceso que genera mayor conocimi</w:t>
      </w:r>
      <w:r w:rsidRPr="00F3164E">
        <w:rPr>
          <w:rFonts w:ascii="Times New Roman" w:hAnsi="Times New Roman"/>
          <w:sz w:val="24"/>
          <w:szCs w:val="24"/>
        </w:rPr>
        <w:t>ento en la relación academia – empresa, así mismo las charlas con empresarios, las visitas y la relación docente empresario.</w:t>
      </w:r>
    </w:p>
    <w:p w14:paraId="5093617A" w14:textId="77777777" w:rsidR="00F45AD2" w:rsidRPr="00F3164E" w:rsidRDefault="00F45AD2" w:rsidP="00F45AD2">
      <w:pPr>
        <w:widowControl w:val="0"/>
        <w:pBdr>
          <w:top w:val="nil"/>
          <w:left w:val="nil"/>
          <w:bottom w:val="nil"/>
          <w:right w:val="nil"/>
          <w:between w:val="nil"/>
        </w:pBdr>
        <w:spacing w:after="0" w:line="240" w:lineRule="auto"/>
        <w:contextualSpacing/>
        <w:jc w:val="both"/>
        <w:rPr>
          <w:rFonts w:ascii="Times New Roman" w:hAnsi="Times New Roman"/>
          <w:sz w:val="24"/>
          <w:szCs w:val="24"/>
        </w:rPr>
      </w:pPr>
    </w:p>
    <w:p w14:paraId="410F72DE" w14:textId="77777777" w:rsidR="00F45AD2" w:rsidRPr="00F3164E" w:rsidRDefault="00F45AD2" w:rsidP="00F45AD2">
      <w:pPr>
        <w:widowControl w:val="0"/>
        <w:pBdr>
          <w:top w:val="nil"/>
          <w:left w:val="nil"/>
          <w:bottom w:val="nil"/>
          <w:right w:val="nil"/>
          <w:between w:val="nil"/>
        </w:pBdr>
        <w:spacing w:after="0" w:line="240" w:lineRule="auto"/>
        <w:ind w:left="720"/>
        <w:contextualSpacing/>
        <w:jc w:val="both"/>
        <w:rPr>
          <w:rFonts w:ascii="Times New Roman" w:hAnsi="Times New Roman"/>
          <w:sz w:val="21"/>
          <w:szCs w:val="21"/>
        </w:rPr>
      </w:pPr>
    </w:p>
    <w:p w14:paraId="08B6778F" w14:textId="77777777" w:rsidR="00F45AD2" w:rsidRPr="00F3164E" w:rsidRDefault="00F45AD2" w:rsidP="00F45AD2">
      <w:pPr>
        <w:widowControl w:val="0"/>
        <w:pBdr>
          <w:top w:val="nil"/>
          <w:left w:val="nil"/>
          <w:bottom w:val="nil"/>
          <w:right w:val="nil"/>
          <w:between w:val="nil"/>
        </w:pBdr>
        <w:spacing w:line="240" w:lineRule="auto"/>
        <w:jc w:val="both"/>
        <w:rPr>
          <w:rFonts w:ascii="Times New Roman" w:hAnsi="Times New Roman"/>
          <w:i/>
          <w:sz w:val="26"/>
          <w:szCs w:val="26"/>
        </w:rPr>
      </w:pPr>
      <w:r w:rsidRPr="00F3164E">
        <w:rPr>
          <w:rFonts w:ascii="Times New Roman" w:hAnsi="Times New Roman"/>
          <w:b/>
          <w:i/>
          <w:sz w:val="26"/>
          <w:szCs w:val="26"/>
        </w:rPr>
        <w:t xml:space="preserve">1.5. Conclusiones y Discusión </w:t>
      </w:r>
    </w:p>
    <w:p w14:paraId="5B15524F" w14:textId="77777777" w:rsidR="00F45AD2" w:rsidRPr="00F3164E" w:rsidRDefault="00F45AD2" w:rsidP="00F45AD2">
      <w:pPr>
        <w:widowControl w:val="0"/>
        <w:pBdr>
          <w:top w:val="nil"/>
          <w:left w:val="nil"/>
          <w:bottom w:val="nil"/>
          <w:right w:val="nil"/>
          <w:between w:val="nil"/>
        </w:pBdr>
        <w:spacing w:line="240" w:lineRule="auto"/>
        <w:jc w:val="both"/>
        <w:rPr>
          <w:rFonts w:ascii="Times New Roman" w:eastAsia="Calibri" w:hAnsi="Times New Roman"/>
          <w:color w:val="000000"/>
          <w:sz w:val="24"/>
          <w:szCs w:val="24"/>
          <w:lang w:eastAsia="es-CO"/>
        </w:rPr>
      </w:pPr>
      <w:r w:rsidRPr="00F3164E">
        <w:rPr>
          <w:rFonts w:ascii="Times New Roman" w:eastAsia="Calibri" w:hAnsi="Times New Roman"/>
          <w:color w:val="000000"/>
          <w:sz w:val="24"/>
          <w:szCs w:val="24"/>
          <w:lang w:eastAsia="es-CO"/>
        </w:rPr>
        <w:t xml:space="preserve">La gestión del conocimiento y su transferencia en la relación academia – empresa que se da en la formación dual, debe ser entendida o conceptualizada como un modelo que permita la conversión del conocimiento para que genere valor a ambos espacios, es así que es necesario entender dicha gestión desde la lógica del modelo propuesto por Nonaka y Takeuchi (1995) frente a los mecanismos </w:t>
      </w:r>
      <w:bookmarkStart w:id="2" w:name="_Hlk13239331"/>
      <w:r w:rsidRPr="00F3164E">
        <w:rPr>
          <w:rFonts w:ascii="Times New Roman" w:eastAsia="Calibri" w:hAnsi="Times New Roman"/>
          <w:color w:val="000000"/>
          <w:sz w:val="24"/>
          <w:szCs w:val="24"/>
          <w:lang w:eastAsia="es-CO"/>
        </w:rPr>
        <w:t>de conversión e integración del mismo.</w:t>
      </w:r>
    </w:p>
    <w:p w14:paraId="5C0384BA" w14:textId="77777777" w:rsidR="00F45AD2" w:rsidRPr="00F3164E" w:rsidRDefault="00F45AD2" w:rsidP="00F45AD2">
      <w:pPr>
        <w:widowControl w:val="0"/>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 xml:space="preserve">Específicamente los resultados pueden ser entendidos para cada una de las </w:t>
      </w:r>
      <w:proofErr w:type="spellStart"/>
      <w:r w:rsidRPr="00F3164E">
        <w:rPr>
          <w:rFonts w:ascii="Times New Roman" w:hAnsi="Times New Roman"/>
          <w:sz w:val="24"/>
          <w:szCs w:val="24"/>
        </w:rPr>
        <w:t>etápas</w:t>
      </w:r>
      <w:proofErr w:type="spellEnd"/>
      <w:r w:rsidRPr="00F3164E">
        <w:rPr>
          <w:rFonts w:ascii="Times New Roman" w:hAnsi="Times New Roman"/>
          <w:sz w:val="24"/>
          <w:szCs w:val="24"/>
        </w:rPr>
        <w:t xml:space="preserve"> </w:t>
      </w:r>
      <w:proofErr w:type="spellStart"/>
      <w:r w:rsidRPr="00F3164E">
        <w:rPr>
          <w:rFonts w:ascii="Times New Roman" w:hAnsi="Times New Roman"/>
          <w:sz w:val="24"/>
          <w:szCs w:val="24"/>
        </w:rPr>
        <w:t>asi</w:t>
      </w:r>
      <w:proofErr w:type="spellEnd"/>
      <w:r w:rsidRPr="00F3164E">
        <w:rPr>
          <w:rFonts w:ascii="Times New Roman" w:hAnsi="Times New Roman"/>
          <w:sz w:val="24"/>
          <w:szCs w:val="24"/>
        </w:rPr>
        <w:t>:</w:t>
      </w:r>
    </w:p>
    <w:p w14:paraId="0E07C038" w14:textId="77777777" w:rsidR="00F45AD2" w:rsidRPr="00F3164E" w:rsidRDefault="00F45AD2" w:rsidP="00F45AD2">
      <w:pPr>
        <w:widowControl w:val="0"/>
        <w:numPr>
          <w:ilvl w:val="0"/>
          <w:numId w:val="7"/>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 xml:space="preserve">Socialización: </w:t>
      </w:r>
    </w:p>
    <w:p w14:paraId="5A65E65B" w14:textId="77777777" w:rsidR="00F45AD2" w:rsidRPr="00F3164E" w:rsidRDefault="00F45AD2" w:rsidP="00F45AD2">
      <w:pPr>
        <w:widowControl w:val="0"/>
        <w:numPr>
          <w:ilvl w:val="0"/>
          <w:numId w:val="8"/>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Mecanismos para escucha las necesidades de docentes- empresarios y estudiantes.</w:t>
      </w:r>
    </w:p>
    <w:p w14:paraId="12430BE0" w14:textId="77777777" w:rsidR="00F45AD2" w:rsidRPr="00F3164E" w:rsidRDefault="00F45AD2" w:rsidP="00F45AD2">
      <w:pPr>
        <w:widowControl w:val="0"/>
        <w:numPr>
          <w:ilvl w:val="0"/>
          <w:numId w:val="8"/>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Seguimiento de la práctica</w:t>
      </w:r>
    </w:p>
    <w:p w14:paraId="312B498C" w14:textId="77777777" w:rsidR="00F45AD2" w:rsidRPr="00F3164E" w:rsidRDefault="00F45AD2" w:rsidP="00F45AD2">
      <w:pPr>
        <w:widowControl w:val="0"/>
        <w:numPr>
          <w:ilvl w:val="0"/>
          <w:numId w:val="7"/>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Exteriorización</w:t>
      </w:r>
    </w:p>
    <w:p w14:paraId="64B14A09" w14:textId="77777777" w:rsidR="00F45AD2" w:rsidRPr="00F3164E" w:rsidRDefault="00F45AD2" w:rsidP="00F45AD2">
      <w:pPr>
        <w:widowControl w:val="0"/>
        <w:numPr>
          <w:ilvl w:val="0"/>
          <w:numId w:val="9"/>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Existencia de espacios colaborativos</w:t>
      </w:r>
    </w:p>
    <w:p w14:paraId="007234BC" w14:textId="77777777" w:rsidR="00F45AD2" w:rsidRPr="00F3164E" w:rsidRDefault="00F45AD2" w:rsidP="00F45AD2">
      <w:pPr>
        <w:widowControl w:val="0"/>
        <w:numPr>
          <w:ilvl w:val="0"/>
          <w:numId w:val="9"/>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Mecanismos de capitalización de la relación academia – empresa</w:t>
      </w:r>
    </w:p>
    <w:p w14:paraId="385DAE45" w14:textId="77777777" w:rsidR="00F45AD2" w:rsidRPr="00F3164E" w:rsidRDefault="00F45AD2" w:rsidP="00F45AD2">
      <w:pPr>
        <w:widowControl w:val="0"/>
        <w:numPr>
          <w:ilvl w:val="0"/>
          <w:numId w:val="7"/>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Combinación</w:t>
      </w:r>
    </w:p>
    <w:p w14:paraId="7CF359B7" w14:textId="77777777" w:rsidR="00F45AD2" w:rsidRPr="00F3164E" w:rsidRDefault="00F45AD2" w:rsidP="00F45AD2">
      <w:pPr>
        <w:widowControl w:val="0"/>
        <w:numPr>
          <w:ilvl w:val="1"/>
          <w:numId w:val="11"/>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Documentación de la relación</w:t>
      </w:r>
    </w:p>
    <w:p w14:paraId="1EC5C62E" w14:textId="77777777" w:rsidR="00F45AD2" w:rsidRPr="00F3164E" w:rsidRDefault="00F45AD2" w:rsidP="00F45AD2">
      <w:pPr>
        <w:widowControl w:val="0"/>
        <w:numPr>
          <w:ilvl w:val="1"/>
          <w:numId w:val="11"/>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Proceso de trazabilidad de la relación academia empresa</w:t>
      </w:r>
    </w:p>
    <w:p w14:paraId="2450A090" w14:textId="77777777" w:rsidR="00F45AD2" w:rsidRPr="00F3164E" w:rsidRDefault="00F45AD2" w:rsidP="00F45AD2">
      <w:pPr>
        <w:widowControl w:val="0"/>
        <w:numPr>
          <w:ilvl w:val="0"/>
          <w:numId w:val="7"/>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Interiorización</w:t>
      </w:r>
    </w:p>
    <w:p w14:paraId="442C8396" w14:textId="77777777" w:rsidR="00F45AD2" w:rsidRPr="00F3164E" w:rsidRDefault="00F45AD2" w:rsidP="00F45AD2">
      <w:pPr>
        <w:widowControl w:val="0"/>
        <w:numPr>
          <w:ilvl w:val="0"/>
          <w:numId w:val="10"/>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Publicación de informes, guías y material de trabajo</w:t>
      </w:r>
    </w:p>
    <w:p w14:paraId="7AC0F212" w14:textId="77777777" w:rsidR="00F45AD2" w:rsidRPr="00F3164E" w:rsidRDefault="00F45AD2" w:rsidP="00F45AD2">
      <w:pPr>
        <w:widowControl w:val="0"/>
        <w:numPr>
          <w:ilvl w:val="0"/>
          <w:numId w:val="10"/>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Realización de proyectos e investigaciones</w:t>
      </w:r>
    </w:p>
    <w:bookmarkEnd w:id="2"/>
    <w:p w14:paraId="5713A1E9" w14:textId="77777777" w:rsidR="00F45AD2" w:rsidRPr="00F3164E" w:rsidRDefault="00F45AD2" w:rsidP="00F45AD2">
      <w:pPr>
        <w:spacing w:after="0"/>
      </w:pPr>
    </w:p>
    <w:p w14:paraId="27374DC6" w14:textId="77777777" w:rsidR="00F45AD2" w:rsidRPr="00F3164E" w:rsidRDefault="00F45AD2" w:rsidP="00F45AD2">
      <w:pPr>
        <w:widowControl w:val="0"/>
        <w:pBdr>
          <w:top w:val="nil"/>
          <w:left w:val="nil"/>
          <w:bottom w:val="nil"/>
          <w:right w:val="nil"/>
          <w:between w:val="nil"/>
        </w:pBdr>
        <w:spacing w:line="240" w:lineRule="auto"/>
        <w:jc w:val="both"/>
        <w:rPr>
          <w:rFonts w:ascii="Times New Roman" w:eastAsia="Calibri" w:hAnsi="Times New Roman"/>
          <w:color w:val="000000"/>
          <w:sz w:val="24"/>
          <w:szCs w:val="24"/>
          <w:lang w:eastAsia="es-CO"/>
        </w:rPr>
      </w:pPr>
      <w:r w:rsidRPr="00F3164E">
        <w:rPr>
          <w:rFonts w:ascii="Times New Roman" w:eastAsia="Calibri" w:hAnsi="Times New Roman"/>
          <w:color w:val="000000"/>
          <w:sz w:val="24"/>
          <w:szCs w:val="24"/>
          <w:lang w:eastAsia="es-CO"/>
        </w:rPr>
        <w:t xml:space="preserve">Los resultados muestran que las actividades que mayor generan conocimiento en el proceso de relación academia – empresa son: </w:t>
      </w:r>
    </w:p>
    <w:p w14:paraId="0FAF6E83" w14:textId="77777777" w:rsidR="00F45AD2" w:rsidRPr="00F3164E" w:rsidRDefault="00F45AD2" w:rsidP="00F45AD2">
      <w:pPr>
        <w:widowControl w:val="0"/>
        <w:numPr>
          <w:ilvl w:val="0"/>
          <w:numId w:val="6"/>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 xml:space="preserve">El </w:t>
      </w:r>
      <w:proofErr w:type="spellStart"/>
      <w:r w:rsidRPr="00F3164E">
        <w:rPr>
          <w:rFonts w:ascii="Times New Roman" w:hAnsi="Times New Roman"/>
          <w:sz w:val="24"/>
          <w:szCs w:val="24"/>
        </w:rPr>
        <w:t>team</w:t>
      </w:r>
      <w:proofErr w:type="spellEnd"/>
      <w:r w:rsidRPr="00F3164E">
        <w:rPr>
          <w:rFonts w:ascii="Times New Roman" w:hAnsi="Times New Roman"/>
          <w:sz w:val="24"/>
          <w:szCs w:val="24"/>
        </w:rPr>
        <w:t xml:space="preserve"> </w:t>
      </w:r>
      <w:proofErr w:type="spellStart"/>
      <w:r w:rsidRPr="00F3164E">
        <w:rPr>
          <w:rFonts w:ascii="Times New Roman" w:hAnsi="Times New Roman"/>
          <w:sz w:val="24"/>
          <w:szCs w:val="24"/>
        </w:rPr>
        <w:t>teaching</w:t>
      </w:r>
      <w:proofErr w:type="spellEnd"/>
      <w:r w:rsidRPr="00F3164E">
        <w:rPr>
          <w:rFonts w:ascii="Times New Roman" w:hAnsi="Times New Roman"/>
          <w:sz w:val="24"/>
          <w:szCs w:val="24"/>
        </w:rPr>
        <w:t xml:space="preserve"> es decir el aprender a través de la experiencia misma de los </w:t>
      </w:r>
      <w:r w:rsidRPr="00F3164E">
        <w:rPr>
          <w:rFonts w:ascii="Times New Roman" w:hAnsi="Times New Roman"/>
          <w:sz w:val="24"/>
          <w:szCs w:val="24"/>
        </w:rPr>
        <w:lastRenderedPageBreak/>
        <w:t xml:space="preserve">empresarios </w:t>
      </w:r>
    </w:p>
    <w:p w14:paraId="582F594D" w14:textId="77777777" w:rsidR="00F45AD2" w:rsidRPr="00F3164E" w:rsidRDefault="00F45AD2" w:rsidP="00F45AD2">
      <w:pPr>
        <w:widowControl w:val="0"/>
        <w:numPr>
          <w:ilvl w:val="0"/>
          <w:numId w:val="6"/>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 xml:space="preserve">La relación continua de docentes y empresarios </w:t>
      </w:r>
    </w:p>
    <w:p w14:paraId="2B81C447" w14:textId="77777777" w:rsidR="00F45AD2" w:rsidRPr="00F3164E" w:rsidRDefault="00F45AD2" w:rsidP="00F45AD2">
      <w:pPr>
        <w:widowControl w:val="0"/>
        <w:numPr>
          <w:ilvl w:val="0"/>
          <w:numId w:val="6"/>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Las actividades previas de preparación de la práctica empresarial</w:t>
      </w:r>
    </w:p>
    <w:p w14:paraId="2C53A173" w14:textId="77777777" w:rsidR="00F45AD2" w:rsidRPr="00F3164E" w:rsidRDefault="00F45AD2" w:rsidP="00F45AD2">
      <w:pPr>
        <w:widowControl w:val="0"/>
        <w:numPr>
          <w:ilvl w:val="0"/>
          <w:numId w:val="6"/>
        </w:numPr>
        <w:pBdr>
          <w:top w:val="nil"/>
          <w:left w:val="nil"/>
          <w:bottom w:val="nil"/>
          <w:right w:val="nil"/>
          <w:between w:val="nil"/>
        </w:pBdr>
        <w:spacing w:after="0" w:line="240" w:lineRule="auto"/>
        <w:contextualSpacing/>
        <w:jc w:val="both"/>
        <w:rPr>
          <w:rFonts w:ascii="Times New Roman" w:hAnsi="Times New Roman"/>
          <w:sz w:val="24"/>
          <w:szCs w:val="24"/>
        </w:rPr>
      </w:pPr>
      <w:r w:rsidRPr="00F3164E">
        <w:rPr>
          <w:rFonts w:ascii="Times New Roman" w:hAnsi="Times New Roman"/>
          <w:sz w:val="24"/>
          <w:szCs w:val="24"/>
        </w:rPr>
        <w:t>Y el tamaño de la empresa como condicionante de las posibilidades de aprendizaje</w:t>
      </w:r>
    </w:p>
    <w:p w14:paraId="1F658176" w14:textId="77777777" w:rsidR="00F45AD2" w:rsidRPr="00F3164E" w:rsidRDefault="00F45AD2" w:rsidP="00F45AD2">
      <w:pPr>
        <w:widowControl w:val="0"/>
        <w:pBdr>
          <w:top w:val="nil"/>
          <w:left w:val="nil"/>
          <w:bottom w:val="nil"/>
          <w:right w:val="nil"/>
          <w:between w:val="nil"/>
        </w:pBdr>
        <w:spacing w:after="0" w:line="240" w:lineRule="auto"/>
        <w:ind w:left="720"/>
        <w:contextualSpacing/>
        <w:jc w:val="both"/>
        <w:rPr>
          <w:rFonts w:ascii="Times New Roman" w:hAnsi="Times New Roman"/>
          <w:sz w:val="24"/>
          <w:szCs w:val="24"/>
        </w:rPr>
      </w:pPr>
    </w:p>
    <w:p w14:paraId="142446B0" w14:textId="77777777" w:rsidR="00F45AD2" w:rsidRPr="00F3164E" w:rsidRDefault="00F45AD2" w:rsidP="00F45AD2">
      <w:pPr>
        <w:widowControl w:val="0"/>
        <w:pBdr>
          <w:top w:val="nil"/>
          <w:left w:val="nil"/>
          <w:bottom w:val="nil"/>
          <w:right w:val="nil"/>
          <w:between w:val="nil"/>
        </w:pBdr>
        <w:spacing w:line="240" w:lineRule="auto"/>
        <w:jc w:val="both"/>
        <w:rPr>
          <w:rFonts w:ascii="Times New Roman" w:eastAsia="Calibri" w:hAnsi="Times New Roman"/>
          <w:color w:val="000000"/>
          <w:sz w:val="24"/>
          <w:szCs w:val="24"/>
          <w:lang w:eastAsia="es-CO"/>
        </w:rPr>
      </w:pPr>
      <w:r w:rsidRPr="00F3164E">
        <w:rPr>
          <w:rFonts w:ascii="Times New Roman" w:eastAsia="Calibri" w:hAnsi="Times New Roman"/>
          <w:color w:val="000000"/>
          <w:sz w:val="24"/>
          <w:szCs w:val="24"/>
          <w:lang w:eastAsia="es-CO"/>
        </w:rPr>
        <w:t xml:space="preserve">Euler (2013) explica en este sentido que: </w:t>
      </w:r>
    </w:p>
    <w:p w14:paraId="4EB897F7" w14:textId="77777777" w:rsidR="00F45AD2" w:rsidRPr="00F3164E" w:rsidRDefault="00F45AD2" w:rsidP="00F45AD2">
      <w:pPr>
        <w:widowControl w:val="0"/>
        <w:pBdr>
          <w:top w:val="nil"/>
          <w:left w:val="nil"/>
          <w:bottom w:val="nil"/>
          <w:right w:val="nil"/>
          <w:between w:val="nil"/>
        </w:pBdr>
        <w:spacing w:line="240" w:lineRule="auto"/>
        <w:ind w:left="708"/>
        <w:jc w:val="both"/>
        <w:rPr>
          <w:rFonts w:ascii="Times New Roman" w:eastAsia="Calibri" w:hAnsi="Times New Roman"/>
          <w:color w:val="000000"/>
          <w:szCs w:val="24"/>
          <w:lang w:eastAsia="es-CO"/>
        </w:rPr>
      </w:pPr>
      <w:r w:rsidRPr="00F3164E">
        <w:rPr>
          <w:rFonts w:ascii="Times New Roman" w:eastAsia="Calibri" w:hAnsi="Times New Roman"/>
          <w:color w:val="000000"/>
          <w:szCs w:val="24"/>
          <w:lang w:eastAsia="es-CO"/>
        </w:rPr>
        <w:t>Una formación alternante en la escuela y en la empresa ofrece posibilidades específicas de engranar la teoría y la práctica, (…). Para ello es esencial la conexión entre aprendizaje casuístico y sistemático. Puede traducirse en el desarrollo de competencias de actuación profesional que, siendo importantes para el mercado laboral, no sean en exceso específicas de la empresa. (p.32).</w:t>
      </w:r>
    </w:p>
    <w:p w14:paraId="1AAACA41" w14:textId="77777777" w:rsidR="00F45AD2" w:rsidRPr="00F3164E" w:rsidRDefault="00F45AD2" w:rsidP="00F45AD2">
      <w:pPr>
        <w:widowControl w:val="0"/>
        <w:pBdr>
          <w:top w:val="nil"/>
          <w:left w:val="nil"/>
          <w:bottom w:val="nil"/>
          <w:right w:val="nil"/>
          <w:between w:val="nil"/>
        </w:pBdr>
        <w:spacing w:line="240" w:lineRule="auto"/>
        <w:jc w:val="both"/>
        <w:rPr>
          <w:rFonts w:ascii="Times New Roman" w:eastAsia="Calibri" w:hAnsi="Times New Roman"/>
          <w:color w:val="000000"/>
          <w:sz w:val="24"/>
          <w:szCs w:val="24"/>
          <w:lang w:eastAsia="es-CO"/>
        </w:rPr>
      </w:pPr>
      <w:proofErr w:type="spellStart"/>
      <w:r w:rsidRPr="00F3164E">
        <w:rPr>
          <w:rFonts w:ascii="Times New Roman" w:eastAsia="Calibri" w:hAnsi="Times New Roman"/>
          <w:color w:val="000000"/>
          <w:sz w:val="24"/>
          <w:szCs w:val="24"/>
          <w:lang w:eastAsia="es-CO"/>
        </w:rPr>
        <w:t>Gessler</w:t>
      </w:r>
      <w:proofErr w:type="spellEnd"/>
      <w:r w:rsidRPr="00F3164E">
        <w:rPr>
          <w:rFonts w:ascii="Times New Roman" w:eastAsia="Calibri" w:hAnsi="Times New Roman"/>
          <w:color w:val="000000"/>
          <w:sz w:val="24"/>
          <w:szCs w:val="24"/>
          <w:lang w:eastAsia="es-CO"/>
        </w:rPr>
        <w:t xml:space="preserve"> (2017) plantea también que el nivel de relacionamiento más importante para que la formación dual sea exitosa es la relación que los profesores tengan con las empresas, esto concuerda con lo encontrado. </w:t>
      </w:r>
      <w:proofErr w:type="spellStart"/>
      <w:r w:rsidRPr="00F3164E">
        <w:rPr>
          <w:rFonts w:ascii="Times New Roman" w:eastAsia="Calibri" w:hAnsi="Times New Roman"/>
          <w:color w:val="000000"/>
          <w:sz w:val="24"/>
          <w:szCs w:val="24"/>
          <w:lang w:eastAsia="es-CO"/>
        </w:rPr>
        <w:t>Braunerhjel</w:t>
      </w:r>
      <w:proofErr w:type="spellEnd"/>
      <w:r w:rsidRPr="00F3164E">
        <w:rPr>
          <w:rFonts w:ascii="Times New Roman" w:eastAsia="Calibri" w:hAnsi="Times New Roman"/>
          <w:color w:val="000000"/>
          <w:sz w:val="24"/>
          <w:szCs w:val="24"/>
          <w:lang w:eastAsia="es-CO"/>
        </w:rPr>
        <w:t xml:space="preserve">, </w:t>
      </w:r>
      <w:proofErr w:type="spellStart"/>
      <w:r w:rsidRPr="00F3164E">
        <w:rPr>
          <w:rFonts w:ascii="Times New Roman" w:eastAsia="Calibri" w:hAnsi="Times New Roman"/>
          <w:color w:val="000000"/>
          <w:sz w:val="24"/>
          <w:szCs w:val="24"/>
          <w:lang w:eastAsia="es-CO"/>
        </w:rPr>
        <w:t>Ding</w:t>
      </w:r>
      <w:proofErr w:type="spellEnd"/>
      <w:r w:rsidRPr="00F3164E">
        <w:rPr>
          <w:rFonts w:ascii="Times New Roman" w:eastAsia="Calibri" w:hAnsi="Times New Roman"/>
          <w:color w:val="000000"/>
          <w:sz w:val="24"/>
          <w:szCs w:val="24"/>
          <w:lang w:eastAsia="es-CO"/>
        </w:rPr>
        <w:t>, &amp; Thulin (2018) describen como las pequeñas empresas mejoran sus procesos a partir del trabajo en equipo ya que permite la innovación.</w:t>
      </w:r>
    </w:p>
    <w:p w14:paraId="251DEC31" w14:textId="77777777" w:rsidR="00F45AD2" w:rsidRPr="00F3164E" w:rsidRDefault="00F45AD2" w:rsidP="00F45AD2">
      <w:pPr>
        <w:widowControl w:val="0"/>
        <w:pBdr>
          <w:top w:val="nil"/>
          <w:left w:val="nil"/>
          <w:bottom w:val="nil"/>
          <w:right w:val="nil"/>
          <w:between w:val="nil"/>
        </w:pBdr>
        <w:spacing w:line="240" w:lineRule="auto"/>
        <w:jc w:val="both"/>
        <w:rPr>
          <w:rFonts w:ascii="Times New Roman" w:eastAsia="Calibri" w:hAnsi="Times New Roman"/>
          <w:color w:val="000000"/>
          <w:sz w:val="24"/>
          <w:szCs w:val="24"/>
          <w:lang w:eastAsia="es-CO"/>
        </w:rPr>
      </w:pPr>
      <w:r w:rsidRPr="00F3164E">
        <w:rPr>
          <w:rFonts w:ascii="Times New Roman" w:eastAsia="Calibri" w:hAnsi="Times New Roman"/>
          <w:color w:val="000000"/>
          <w:sz w:val="24"/>
          <w:szCs w:val="24"/>
          <w:lang w:eastAsia="es-CO"/>
        </w:rPr>
        <w:t xml:space="preserve">Por su parte la transferencia de conocimiento presenta como eje central la misma relación es decir que es necesario que el flujo de conocimiento se trabaje de forma bidireccional y que las partes sean conscientes de la importancia de la transferencia y de los conocimientos que se están transfiriendo como lo describen </w:t>
      </w:r>
      <w:proofErr w:type="spellStart"/>
      <w:r w:rsidRPr="00F3164E">
        <w:rPr>
          <w:rFonts w:ascii="Times New Roman" w:eastAsia="Calibri" w:hAnsi="Times New Roman"/>
          <w:color w:val="000000"/>
          <w:sz w:val="24"/>
          <w:szCs w:val="24"/>
          <w:lang w:eastAsia="es-CO"/>
        </w:rPr>
        <w:t>Von</w:t>
      </w:r>
      <w:proofErr w:type="spellEnd"/>
      <w:r w:rsidRPr="00F3164E">
        <w:rPr>
          <w:rFonts w:ascii="Times New Roman" w:eastAsia="Calibri" w:hAnsi="Times New Roman"/>
          <w:color w:val="000000"/>
          <w:sz w:val="24"/>
          <w:szCs w:val="24"/>
          <w:lang w:eastAsia="es-CO"/>
        </w:rPr>
        <w:t xml:space="preserve"> </w:t>
      </w:r>
      <w:proofErr w:type="spellStart"/>
      <w:r w:rsidRPr="00F3164E">
        <w:rPr>
          <w:rFonts w:ascii="Times New Roman" w:eastAsia="Calibri" w:hAnsi="Times New Roman"/>
          <w:color w:val="000000"/>
          <w:sz w:val="24"/>
          <w:szCs w:val="24"/>
          <w:lang w:eastAsia="es-CO"/>
        </w:rPr>
        <w:t>Krogh</w:t>
      </w:r>
      <w:proofErr w:type="spellEnd"/>
      <w:r w:rsidRPr="00F3164E">
        <w:rPr>
          <w:rFonts w:ascii="Times New Roman" w:eastAsia="Calibri" w:hAnsi="Times New Roman"/>
          <w:color w:val="000000"/>
          <w:sz w:val="24"/>
          <w:szCs w:val="24"/>
          <w:lang w:eastAsia="es-CO"/>
        </w:rPr>
        <w:t>, Nonaka y Aben (2001).</w:t>
      </w:r>
    </w:p>
    <w:p w14:paraId="07FADFB5" w14:textId="77777777" w:rsidR="00F45AD2" w:rsidRPr="00F3164E" w:rsidRDefault="00F45AD2" w:rsidP="00F45AD2">
      <w:pPr>
        <w:widowControl w:val="0"/>
        <w:pBdr>
          <w:top w:val="nil"/>
          <w:left w:val="nil"/>
          <w:bottom w:val="nil"/>
          <w:right w:val="nil"/>
          <w:between w:val="nil"/>
        </w:pBdr>
        <w:spacing w:line="240" w:lineRule="auto"/>
        <w:jc w:val="both"/>
        <w:rPr>
          <w:rFonts w:ascii="Times New Roman" w:eastAsia="Calibri" w:hAnsi="Times New Roman"/>
          <w:color w:val="000000"/>
          <w:sz w:val="24"/>
          <w:szCs w:val="24"/>
          <w:lang w:eastAsia="es-CO"/>
        </w:rPr>
      </w:pPr>
      <w:r w:rsidRPr="00F3164E">
        <w:rPr>
          <w:rFonts w:ascii="Times New Roman" w:eastAsia="Calibri" w:hAnsi="Times New Roman"/>
          <w:color w:val="000000"/>
          <w:sz w:val="24"/>
          <w:szCs w:val="24"/>
          <w:lang w:eastAsia="es-CO"/>
        </w:rPr>
        <w:t>En este sentido cabe anotar que el modelo de gestión de conocimiento que se construya deberá generar valor para ambas partes para el aula como conocimientos que vuelvan al aula y para la empresa en mejoras e innovaciones</w:t>
      </w:r>
    </w:p>
    <w:p w14:paraId="3E64D64E" w14:textId="77777777" w:rsidR="00F45AD2" w:rsidRPr="00135F08" w:rsidRDefault="00F45AD2" w:rsidP="00F45AD2">
      <w:pPr>
        <w:spacing w:line="240" w:lineRule="auto"/>
        <w:jc w:val="both"/>
        <w:rPr>
          <w:rFonts w:ascii="Times New Roman" w:hAnsi="Times New Roman"/>
          <w:b/>
          <w:sz w:val="24"/>
          <w:szCs w:val="24"/>
          <w:lang w:val="en-US"/>
        </w:rPr>
      </w:pPr>
      <w:r w:rsidRPr="00135F08">
        <w:rPr>
          <w:rFonts w:ascii="Times New Roman" w:hAnsi="Times New Roman"/>
          <w:b/>
          <w:sz w:val="24"/>
          <w:szCs w:val="24"/>
          <w:lang w:val="en-US"/>
        </w:rPr>
        <w:t xml:space="preserve">REFERENCIAS </w:t>
      </w:r>
    </w:p>
    <w:p w14:paraId="3D7E46FA"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t xml:space="preserve">Abubakar, A. M., </w:t>
      </w:r>
      <w:proofErr w:type="spellStart"/>
      <w:r w:rsidRPr="00F3164E">
        <w:rPr>
          <w:rFonts w:ascii="Times New Roman" w:hAnsi="Times New Roman"/>
          <w:sz w:val="24"/>
          <w:szCs w:val="24"/>
          <w:lang w:val="en-US"/>
        </w:rPr>
        <w:t>Elrehail</w:t>
      </w:r>
      <w:proofErr w:type="spellEnd"/>
      <w:r w:rsidRPr="00F3164E">
        <w:rPr>
          <w:rFonts w:ascii="Times New Roman" w:hAnsi="Times New Roman"/>
          <w:sz w:val="24"/>
          <w:szCs w:val="24"/>
          <w:lang w:val="en-US"/>
        </w:rPr>
        <w:t xml:space="preserve">, H., </w:t>
      </w:r>
      <w:proofErr w:type="spellStart"/>
      <w:r w:rsidRPr="00F3164E">
        <w:rPr>
          <w:rFonts w:ascii="Times New Roman" w:hAnsi="Times New Roman"/>
          <w:sz w:val="24"/>
          <w:szCs w:val="24"/>
          <w:lang w:val="en-US"/>
        </w:rPr>
        <w:t>Alatailat</w:t>
      </w:r>
      <w:proofErr w:type="spellEnd"/>
      <w:r w:rsidRPr="00F3164E">
        <w:rPr>
          <w:rFonts w:ascii="Times New Roman" w:hAnsi="Times New Roman"/>
          <w:sz w:val="24"/>
          <w:szCs w:val="24"/>
          <w:lang w:val="en-US"/>
        </w:rPr>
        <w:t xml:space="preserve">, M. A., &amp; </w:t>
      </w:r>
      <w:proofErr w:type="spellStart"/>
      <w:r w:rsidRPr="00F3164E">
        <w:rPr>
          <w:rFonts w:ascii="Times New Roman" w:hAnsi="Times New Roman"/>
          <w:sz w:val="24"/>
          <w:szCs w:val="24"/>
          <w:lang w:val="en-US"/>
        </w:rPr>
        <w:t>Elçi</w:t>
      </w:r>
      <w:proofErr w:type="spellEnd"/>
      <w:r w:rsidRPr="00F3164E">
        <w:rPr>
          <w:rFonts w:ascii="Times New Roman" w:hAnsi="Times New Roman"/>
          <w:sz w:val="24"/>
          <w:szCs w:val="24"/>
          <w:lang w:val="en-US"/>
        </w:rPr>
        <w:t>, A. (2019). Knowledge management, decision-making style and organizational performance. Journal of Innovation &amp; Knowledge, 4(2), 104-114.</w:t>
      </w:r>
    </w:p>
    <w:p w14:paraId="3075BA17" w14:textId="77777777" w:rsidR="00F45AD2" w:rsidRPr="00F3164E" w:rsidRDefault="00F45AD2" w:rsidP="00F45AD2">
      <w:pPr>
        <w:spacing w:line="240" w:lineRule="auto"/>
        <w:ind w:left="709" w:hanging="709"/>
        <w:jc w:val="both"/>
        <w:rPr>
          <w:rFonts w:ascii="Times New Roman" w:hAnsi="Times New Roman"/>
          <w:sz w:val="24"/>
          <w:szCs w:val="24"/>
          <w:lang w:val="en-US"/>
        </w:rPr>
      </w:pPr>
      <w:proofErr w:type="spellStart"/>
      <w:r w:rsidRPr="00F3164E">
        <w:rPr>
          <w:rFonts w:ascii="Times New Roman" w:hAnsi="Times New Roman"/>
          <w:sz w:val="24"/>
          <w:szCs w:val="24"/>
          <w:lang w:val="en-US"/>
        </w:rPr>
        <w:t>Alzghoul</w:t>
      </w:r>
      <w:proofErr w:type="spellEnd"/>
      <w:r w:rsidRPr="00F3164E">
        <w:rPr>
          <w:rFonts w:ascii="Times New Roman" w:hAnsi="Times New Roman"/>
          <w:sz w:val="24"/>
          <w:szCs w:val="24"/>
          <w:lang w:val="en-US"/>
        </w:rPr>
        <w:t xml:space="preserve">, A., </w:t>
      </w:r>
      <w:proofErr w:type="spellStart"/>
      <w:r w:rsidRPr="00F3164E">
        <w:rPr>
          <w:rFonts w:ascii="Times New Roman" w:hAnsi="Times New Roman"/>
          <w:sz w:val="24"/>
          <w:szCs w:val="24"/>
          <w:lang w:val="en-US"/>
        </w:rPr>
        <w:t>Elrehail</w:t>
      </w:r>
      <w:proofErr w:type="spellEnd"/>
      <w:r w:rsidRPr="00F3164E">
        <w:rPr>
          <w:rFonts w:ascii="Times New Roman" w:hAnsi="Times New Roman"/>
          <w:sz w:val="24"/>
          <w:szCs w:val="24"/>
          <w:lang w:val="en-US"/>
        </w:rPr>
        <w:t xml:space="preserve">, H., </w:t>
      </w:r>
      <w:proofErr w:type="spellStart"/>
      <w:r w:rsidRPr="00F3164E">
        <w:rPr>
          <w:rFonts w:ascii="Times New Roman" w:hAnsi="Times New Roman"/>
          <w:sz w:val="24"/>
          <w:szCs w:val="24"/>
          <w:lang w:val="en-US"/>
        </w:rPr>
        <w:t>Emeagwali</w:t>
      </w:r>
      <w:proofErr w:type="spellEnd"/>
      <w:r w:rsidRPr="00F3164E">
        <w:rPr>
          <w:rFonts w:ascii="Times New Roman" w:hAnsi="Times New Roman"/>
          <w:sz w:val="24"/>
          <w:szCs w:val="24"/>
          <w:lang w:val="en-US"/>
        </w:rPr>
        <w:t xml:space="preserve">, O. L., &amp; </w:t>
      </w:r>
      <w:proofErr w:type="spellStart"/>
      <w:r w:rsidRPr="00F3164E">
        <w:rPr>
          <w:rFonts w:ascii="Times New Roman" w:hAnsi="Times New Roman"/>
          <w:sz w:val="24"/>
          <w:szCs w:val="24"/>
          <w:lang w:val="en-US"/>
        </w:rPr>
        <w:t>AlShboul</w:t>
      </w:r>
      <w:proofErr w:type="spellEnd"/>
      <w:r w:rsidRPr="00F3164E">
        <w:rPr>
          <w:rFonts w:ascii="Times New Roman" w:hAnsi="Times New Roman"/>
          <w:sz w:val="24"/>
          <w:szCs w:val="24"/>
          <w:lang w:val="en-US"/>
        </w:rPr>
        <w:t>, M. K. (2018). Knowledge management, workplace climate, creativity and performance. Journal of Workplace Learning.</w:t>
      </w:r>
    </w:p>
    <w:p w14:paraId="2F70D2F5"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t>Baldwin, T. T., &amp; Ford, J. K. (1988). Transfer of training: A review and directions for future research. Personnel psychology, 41(1), 63-105.</w:t>
      </w:r>
    </w:p>
    <w:p w14:paraId="1659C93D" w14:textId="77777777" w:rsidR="00F45AD2" w:rsidRPr="00F3164E" w:rsidRDefault="00F45AD2" w:rsidP="00F45AD2">
      <w:pPr>
        <w:spacing w:line="240" w:lineRule="auto"/>
        <w:ind w:left="709" w:hanging="709"/>
        <w:jc w:val="both"/>
        <w:rPr>
          <w:rFonts w:ascii="Times New Roman" w:hAnsi="Times New Roman"/>
          <w:sz w:val="24"/>
          <w:szCs w:val="24"/>
          <w:lang w:val="en-US"/>
        </w:rPr>
      </w:pPr>
      <w:proofErr w:type="spellStart"/>
      <w:r w:rsidRPr="00F3164E">
        <w:rPr>
          <w:rFonts w:ascii="Times New Roman" w:hAnsi="Times New Roman"/>
          <w:sz w:val="24"/>
          <w:szCs w:val="24"/>
          <w:lang w:val="en-US"/>
        </w:rPr>
        <w:t>Braunerhjelm</w:t>
      </w:r>
      <w:proofErr w:type="spellEnd"/>
      <w:r w:rsidRPr="00F3164E">
        <w:rPr>
          <w:rFonts w:ascii="Times New Roman" w:hAnsi="Times New Roman"/>
          <w:sz w:val="24"/>
          <w:szCs w:val="24"/>
          <w:lang w:val="en-US"/>
        </w:rPr>
        <w:t>, P., Ding, D., &amp; Thulin, P. (2018). The knowledge spillover theory of intrapreneurship. Small business economics, 51(1), 1-30.</w:t>
      </w:r>
    </w:p>
    <w:p w14:paraId="0D89E089" w14:textId="77777777" w:rsidR="00F45AD2" w:rsidRPr="00135F08" w:rsidRDefault="00F45AD2" w:rsidP="00F45AD2">
      <w:pPr>
        <w:spacing w:line="240" w:lineRule="auto"/>
        <w:ind w:left="709" w:hanging="709"/>
        <w:jc w:val="both"/>
        <w:rPr>
          <w:rFonts w:ascii="Times New Roman" w:hAnsi="Times New Roman"/>
          <w:sz w:val="24"/>
          <w:szCs w:val="24"/>
        </w:rPr>
      </w:pPr>
      <w:r w:rsidRPr="00F3164E">
        <w:rPr>
          <w:rFonts w:ascii="Times New Roman" w:hAnsi="Times New Roman"/>
          <w:sz w:val="24"/>
          <w:szCs w:val="24"/>
          <w:lang w:val="en-US"/>
        </w:rPr>
        <w:t xml:space="preserve">Du Plessis, M. (2007). The role of knowledge management in innovation. </w:t>
      </w:r>
      <w:proofErr w:type="spellStart"/>
      <w:r w:rsidRPr="00135F08">
        <w:rPr>
          <w:rFonts w:ascii="Times New Roman" w:hAnsi="Times New Roman"/>
          <w:sz w:val="24"/>
          <w:szCs w:val="24"/>
        </w:rPr>
        <w:t>Journal</w:t>
      </w:r>
      <w:proofErr w:type="spellEnd"/>
      <w:r w:rsidRPr="00135F08">
        <w:rPr>
          <w:rFonts w:ascii="Times New Roman" w:hAnsi="Times New Roman"/>
          <w:sz w:val="24"/>
          <w:szCs w:val="24"/>
        </w:rPr>
        <w:t xml:space="preserve"> </w:t>
      </w:r>
      <w:proofErr w:type="spellStart"/>
      <w:r w:rsidRPr="00135F08">
        <w:rPr>
          <w:rFonts w:ascii="Times New Roman" w:hAnsi="Times New Roman"/>
          <w:sz w:val="24"/>
          <w:szCs w:val="24"/>
        </w:rPr>
        <w:t>of</w:t>
      </w:r>
      <w:proofErr w:type="spellEnd"/>
      <w:r w:rsidRPr="00135F08">
        <w:rPr>
          <w:rFonts w:ascii="Times New Roman" w:hAnsi="Times New Roman"/>
          <w:sz w:val="24"/>
          <w:szCs w:val="24"/>
        </w:rPr>
        <w:t xml:space="preserve"> </w:t>
      </w:r>
      <w:proofErr w:type="spellStart"/>
      <w:r w:rsidRPr="00135F08">
        <w:rPr>
          <w:rFonts w:ascii="Times New Roman" w:hAnsi="Times New Roman"/>
          <w:sz w:val="24"/>
          <w:szCs w:val="24"/>
        </w:rPr>
        <w:t>knowledge</w:t>
      </w:r>
      <w:proofErr w:type="spellEnd"/>
      <w:r w:rsidRPr="00135F08">
        <w:rPr>
          <w:rFonts w:ascii="Times New Roman" w:hAnsi="Times New Roman"/>
          <w:sz w:val="24"/>
          <w:szCs w:val="24"/>
        </w:rPr>
        <w:t xml:space="preserve"> </w:t>
      </w:r>
      <w:proofErr w:type="spellStart"/>
      <w:r w:rsidRPr="00135F08">
        <w:rPr>
          <w:rFonts w:ascii="Times New Roman" w:hAnsi="Times New Roman"/>
          <w:sz w:val="24"/>
          <w:szCs w:val="24"/>
        </w:rPr>
        <w:t>management</w:t>
      </w:r>
      <w:proofErr w:type="spellEnd"/>
      <w:r w:rsidRPr="00135F08">
        <w:rPr>
          <w:rFonts w:ascii="Times New Roman" w:hAnsi="Times New Roman"/>
          <w:sz w:val="24"/>
          <w:szCs w:val="24"/>
        </w:rPr>
        <w:t>.</w:t>
      </w:r>
    </w:p>
    <w:p w14:paraId="7D77A429"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rPr>
        <w:t xml:space="preserve">Euler, D. (2013). ¿El sistema dual en Alemania-es posible transferir el modelo al extranjero? </w:t>
      </w:r>
      <w:proofErr w:type="spellStart"/>
      <w:r w:rsidRPr="00F3164E">
        <w:rPr>
          <w:rFonts w:ascii="Times New Roman" w:hAnsi="Times New Roman"/>
          <w:sz w:val="24"/>
          <w:szCs w:val="24"/>
          <w:lang w:val="en-US"/>
        </w:rPr>
        <w:t>Alemania</w:t>
      </w:r>
      <w:proofErr w:type="spellEnd"/>
      <w:r w:rsidRPr="00F3164E">
        <w:rPr>
          <w:rFonts w:ascii="Times New Roman" w:hAnsi="Times New Roman"/>
          <w:sz w:val="24"/>
          <w:szCs w:val="24"/>
          <w:lang w:val="en-US"/>
        </w:rPr>
        <w:t>: Bertelsmann Stiftung.</w:t>
      </w:r>
    </w:p>
    <w:p w14:paraId="71E1A22B"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t>Gessler, M. (2017). The lack of collaboration between companies and schools in the German dual apprenticeship system: Historical background and recent data. International Journal for Research in Vocational Education and Training (IJRVET), 4(2), 164-195.</w:t>
      </w:r>
    </w:p>
    <w:p w14:paraId="78172D66"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lastRenderedPageBreak/>
        <w:t>Gessler, M., &amp; Hinrichs, A. C. (2015). Key Predictors of Learning Transfer in Continuing Vocational Training: Development of a Theoretical Framework and Testing of an Empirical Model with Structure Equation Modelling (SEM). In Working and Learning in Times of Uncertainty: Challenges to Adult, Professional and Vocational Education (pp. 43-60). Brill Sense.</w:t>
      </w:r>
    </w:p>
    <w:p w14:paraId="2C35A3E8"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135F08">
        <w:rPr>
          <w:rFonts w:ascii="Times New Roman" w:hAnsi="Times New Roman"/>
          <w:sz w:val="24"/>
          <w:szCs w:val="24"/>
          <w:lang w:val="en-US"/>
        </w:rPr>
        <w:t xml:space="preserve">Gupta, A. K., &amp; Govindarajan, V. (2000). </w:t>
      </w:r>
      <w:r w:rsidRPr="00F3164E">
        <w:rPr>
          <w:rFonts w:ascii="Times New Roman" w:hAnsi="Times New Roman"/>
          <w:sz w:val="24"/>
          <w:szCs w:val="24"/>
          <w:lang w:val="en-US"/>
        </w:rPr>
        <w:t>Knowledge flows within multinational corporations. Strategic management journal, 21(4), 473-496.</w:t>
      </w:r>
    </w:p>
    <w:p w14:paraId="20DDCCE1"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t xml:space="preserve">Hislop, D., </w:t>
      </w:r>
      <w:proofErr w:type="spellStart"/>
      <w:r w:rsidRPr="00F3164E">
        <w:rPr>
          <w:rFonts w:ascii="Times New Roman" w:hAnsi="Times New Roman"/>
          <w:sz w:val="24"/>
          <w:szCs w:val="24"/>
          <w:lang w:val="en-US"/>
        </w:rPr>
        <w:t>Bosua</w:t>
      </w:r>
      <w:proofErr w:type="spellEnd"/>
      <w:r w:rsidRPr="00F3164E">
        <w:rPr>
          <w:rFonts w:ascii="Times New Roman" w:hAnsi="Times New Roman"/>
          <w:sz w:val="24"/>
          <w:szCs w:val="24"/>
          <w:lang w:val="en-US"/>
        </w:rPr>
        <w:t>, R., &amp; Helms, R. (2018). Knowledge management in organizations: A critical introduction. Oxford University Press.</w:t>
      </w:r>
    </w:p>
    <w:p w14:paraId="7809A628"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t>Nonaka, I., &amp; Konno, N. (1998). The concept of “Ba”: Building a foundation for knowledge creation. California management review, 40(3), 40-54.</w:t>
      </w:r>
    </w:p>
    <w:p w14:paraId="2538453E"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t>Nonaka, I., &amp; Takeuchi, H. (1995). The knowledge-creating company: How Japanese companies create the dynamics of innovation. Oxford university press.</w:t>
      </w:r>
    </w:p>
    <w:p w14:paraId="7AC526F9" w14:textId="77777777" w:rsidR="00F45AD2" w:rsidRPr="00F3164E"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t xml:space="preserve">Von Krogh, G., Nonaka, I., &amp; </w:t>
      </w:r>
      <w:proofErr w:type="spellStart"/>
      <w:r w:rsidRPr="00F3164E">
        <w:rPr>
          <w:rFonts w:ascii="Times New Roman" w:hAnsi="Times New Roman"/>
          <w:sz w:val="24"/>
          <w:szCs w:val="24"/>
          <w:lang w:val="en-US"/>
        </w:rPr>
        <w:t>Aben</w:t>
      </w:r>
      <w:proofErr w:type="spellEnd"/>
      <w:r w:rsidRPr="00F3164E">
        <w:rPr>
          <w:rFonts w:ascii="Times New Roman" w:hAnsi="Times New Roman"/>
          <w:sz w:val="24"/>
          <w:szCs w:val="24"/>
          <w:lang w:val="en-US"/>
        </w:rPr>
        <w:t>, M. (2001). Making the most of your company's knowledge: a strategic framework. Long range planning, 34(4), 421-439.</w:t>
      </w:r>
    </w:p>
    <w:p w14:paraId="78751B49" w14:textId="77777777" w:rsidR="00F45AD2" w:rsidRDefault="00F45AD2" w:rsidP="00F45AD2">
      <w:pPr>
        <w:spacing w:line="240" w:lineRule="auto"/>
        <w:ind w:left="709" w:hanging="709"/>
        <w:jc w:val="both"/>
        <w:rPr>
          <w:rFonts w:ascii="Times New Roman" w:hAnsi="Times New Roman"/>
          <w:sz w:val="24"/>
          <w:szCs w:val="24"/>
          <w:lang w:val="en-US"/>
        </w:rPr>
      </w:pPr>
      <w:r w:rsidRPr="00F3164E">
        <w:rPr>
          <w:rFonts w:ascii="Times New Roman" w:hAnsi="Times New Roman"/>
          <w:sz w:val="24"/>
          <w:szCs w:val="24"/>
          <w:lang w:val="en-US"/>
        </w:rPr>
        <w:t>Yin, R. K. (2003). Designing case studies. Qualitative Research Methods, 359-386.</w:t>
      </w:r>
    </w:p>
    <w:p w14:paraId="3FA4B109" w14:textId="77777777" w:rsidR="00F45AD2" w:rsidRPr="008452AE" w:rsidRDefault="00F45AD2" w:rsidP="00F45AD2">
      <w:pPr>
        <w:spacing w:line="240" w:lineRule="auto"/>
        <w:ind w:left="709" w:hanging="709"/>
        <w:jc w:val="both"/>
        <w:rPr>
          <w:rFonts w:ascii="Times New Roman" w:hAnsi="Times New Roman"/>
          <w:sz w:val="24"/>
          <w:szCs w:val="24"/>
          <w:lang w:val="en-US"/>
        </w:rPr>
      </w:pPr>
    </w:p>
    <w:sectPr w:rsidR="00F45AD2" w:rsidRPr="008452AE" w:rsidSect="00691D9A">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479FF" w14:textId="77777777" w:rsidR="008D013F" w:rsidRDefault="008D013F" w:rsidP="003A1870">
      <w:pPr>
        <w:spacing w:after="0" w:line="240" w:lineRule="auto"/>
      </w:pPr>
      <w:r>
        <w:separator/>
      </w:r>
    </w:p>
  </w:endnote>
  <w:endnote w:type="continuationSeparator" w:id="0">
    <w:p w14:paraId="0713B515" w14:textId="77777777" w:rsidR="008D013F" w:rsidRDefault="008D013F"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09CA" w14:textId="77777777" w:rsidR="008D013F" w:rsidRDefault="008D013F" w:rsidP="003A1870">
      <w:pPr>
        <w:spacing w:after="0" w:line="240" w:lineRule="auto"/>
      </w:pPr>
      <w:r>
        <w:separator/>
      </w:r>
    </w:p>
  </w:footnote>
  <w:footnote w:type="continuationSeparator" w:id="0">
    <w:p w14:paraId="65673436" w14:textId="77777777" w:rsidR="008D013F" w:rsidRDefault="008D013F"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A26D" w14:textId="7C6B4BB6" w:rsidR="00152D97" w:rsidRDefault="004C58D2" w:rsidP="00691D9A">
    <w:pPr>
      <w:pStyle w:val="Encabezado"/>
      <w:jc w:val="right"/>
    </w:pPr>
    <w:r>
      <w:rPr>
        <w:noProof/>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A0D4C15"/>
    <w:multiLevelType w:val="hybridMultilevel"/>
    <w:tmpl w:val="F154EE7E"/>
    <w:lvl w:ilvl="0" w:tplc="F8BABA06">
      <w:start w:val="4"/>
      <w:numFmt w:val="bullet"/>
      <w:lvlText w:val="-"/>
      <w:lvlJc w:val="left"/>
      <w:pPr>
        <w:ind w:left="720" w:hanging="360"/>
      </w:pPr>
      <w:rPr>
        <w:rFonts w:ascii="Calibri Light" w:eastAsiaTheme="majorEastAsia" w:hAnsi="Calibri Light" w:cs="Calibri Light" w:hint="default"/>
      </w:rPr>
    </w:lvl>
    <w:lvl w:ilvl="1" w:tplc="2A9CFB3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120094"/>
    <w:multiLevelType w:val="hybridMultilevel"/>
    <w:tmpl w:val="D55484CE"/>
    <w:lvl w:ilvl="0" w:tplc="2A9CFB3A">
      <w:start w:val="1"/>
      <w:numFmt w:val="bullet"/>
      <w:lvlText w:val="•"/>
      <w:lvlJc w:val="left"/>
      <w:pPr>
        <w:ind w:left="1068" w:hanging="360"/>
      </w:pPr>
      <w:rPr>
        <w:rFonts w:ascii="Arial" w:hAnsi="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2B53529C"/>
    <w:multiLevelType w:val="hybridMultilevel"/>
    <w:tmpl w:val="EE828C1C"/>
    <w:lvl w:ilvl="0" w:tplc="2A9CFB3A">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E82FCB"/>
    <w:multiLevelType w:val="hybridMultilevel"/>
    <w:tmpl w:val="63620630"/>
    <w:lvl w:ilvl="0" w:tplc="2A9CFB3A">
      <w:start w:val="1"/>
      <w:numFmt w:val="bullet"/>
      <w:lvlText w:val="•"/>
      <w:lvlJc w:val="left"/>
      <w:pPr>
        <w:ind w:left="1068" w:hanging="360"/>
      </w:pPr>
      <w:rPr>
        <w:rFonts w:ascii="Arial" w:hAnsi="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3C7A668E"/>
    <w:multiLevelType w:val="hybridMultilevel"/>
    <w:tmpl w:val="DC24DBA4"/>
    <w:lvl w:ilvl="0" w:tplc="F8BABA06">
      <w:start w:val="4"/>
      <w:numFmt w:val="bullet"/>
      <w:lvlText w:val="-"/>
      <w:lvlJc w:val="left"/>
      <w:pPr>
        <w:ind w:left="720" w:hanging="360"/>
      </w:pPr>
      <w:rPr>
        <w:rFonts w:ascii="Calibri Light" w:eastAsiaTheme="maj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4C71A7"/>
    <w:multiLevelType w:val="multilevel"/>
    <w:tmpl w:val="A2EA98C4"/>
    <w:lvl w:ilvl="0">
      <w:start w:val="1"/>
      <w:numFmt w:val="decimal"/>
      <w:lvlText w:val="%1."/>
      <w:lvlJc w:val="left"/>
      <w:pPr>
        <w:ind w:left="450" w:hanging="45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4C907911"/>
    <w:multiLevelType w:val="hybridMultilevel"/>
    <w:tmpl w:val="84CA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1" w15:restartNumberingAfterBreak="0">
    <w:nsid w:val="54BF6E5C"/>
    <w:multiLevelType w:val="hybridMultilevel"/>
    <w:tmpl w:val="03D2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C664D"/>
    <w:multiLevelType w:val="hybridMultilevel"/>
    <w:tmpl w:val="D4C88FEC"/>
    <w:lvl w:ilvl="0" w:tplc="CB90F566">
      <w:numFmt w:val="bullet"/>
      <w:lvlText w:val=""/>
      <w:lvlJc w:val="left"/>
      <w:pPr>
        <w:ind w:left="720" w:hanging="360"/>
      </w:pPr>
      <w:rPr>
        <w:rFonts w:ascii="Symbol" w:eastAsia="Symbol" w:hAnsi="Symbol" w:cs="Symbol" w:hint="default"/>
        <w:b/>
        <w:bCs/>
        <w:color w:val="76923C"/>
        <w:w w:val="99"/>
        <w:sz w:val="24"/>
        <w:szCs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0"/>
  </w:num>
  <w:num w:numId="3">
    <w:abstractNumId w:val="2"/>
  </w:num>
  <w:num w:numId="4">
    <w:abstractNumId w:val="13"/>
  </w:num>
  <w:num w:numId="5">
    <w:abstractNumId w:val="10"/>
  </w:num>
  <w:num w:numId="6">
    <w:abstractNumId w:val="12"/>
  </w:num>
  <w:num w:numId="7">
    <w:abstractNumId w:val="7"/>
  </w:num>
  <w:num w:numId="8">
    <w:abstractNumId w:val="6"/>
  </w:num>
  <w:num w:numId="9">
    <w:abstractNumId w:val="4"/>
  </w:num>
  <w:num w:numId="10">
    <w:abstractNumId w:val="5"/>
  </w:num>
  <w:num w:numId="11">
    <w:abstractNumId w:val="1"/>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95063"/>
    <w:rsid w:val="000B7D43"/>
    <w:rsid w:val="00121204"/>
    <w:rsid w:val="00124DA9"/>
    <w:rsid w:val="00152D97"/>
    <w:rsid w:val="00156522"/>
    <w:rsid w:val="00261C7E"/>
    <w:rsid w:val="002773E8"/>
    <w:rsid w:val="002A457A"/>
    <w:rsid w:val="002B4C82"/>
    <w:rsid w:val="002B7CA3"/>
    <w:rsid w:val="00370D25"/>
    <w:rsid w:val="003A1870"/>
    <w:rsid w:val="003B70B6"/>
    <w:rsid w:val="003D6EC3"/>
    <w:rsid w:val="004101C6"/>
    <w:rsid w:val="00423E1C"/>
    <w:rsid w:val="00491C0D"/>
    <w:rsid w:val="004931BD"/>
    <w:rsid w:val="004A430F"/>
    <w:rsid w:val="004C58D2"/>
    <w:rsid w:val="005968F8"/>
    <w:rsid w:val="005C7E9C"/>
    <w:rsid w:val="005F5030"/>
    <w:rsid w:val="00635CB0"/>
    <w:rsid w:val="00641593"/>
    <w:rsid w:val="0064416C"/>
    <w:rsid w:val="00691D9A"/>
    <w:rsid w:val="006D4B7C"/>
    <w:rsid w:val="006D53F7"/>
    <w:rsid w:val="006E0BAF"/>
    <w:rsid w:val="006E6A0E"/>
    <w:rsid w:val="00711F4B"/>
    <w:rsid w:val="0071605E"/>
    <w:rsid w:val="0075027A"/>
    <w:rsid w:val="007703E8"/>
    <w:rsid w:val="007E44C0"/>
    <w:rsid w:val="00825F79"/>
    <w:rsid w:val="008A2D95"/>
    <w:rsid w:val="008D013F"/>
    <w:rsid w:val="00923610"/>
    <w:rsid w:val="00924A49"/>
    <w:rsid w:val="00946CCC"/>
    <w:rsid w:val="00947763"/>
    <w:rsid w:val="00954D5C"/>
    <w:rsid w:val="009742EF"/>
    <w:rsid w:val="009C0B9E"/>
    <w:rsid w:val="009C2FDF"/>
    <w:rsid w:val="00A061C3"/>
    <w:rsid w:val="00A400A7"/>
    <w:rsid w:val="00A713D0"/>
    <w:rsid w:val="00A86C41"/>
    <w:rsid w:val="00AD5BCA"/>
    <w:rsid w:val="00AE6033"/>
    <w:rsid w:val="00B57162"/>
    <w:rsid w:val="00BB28B3"/>
    <w:rsid w:val="00BB5412"/>
    <w:rsid w:val="00BC7D48"/>
    <w:rsid w:val="00C224C3"/>
    <w:rsid w:val="00C242E1"/>
    <w:rsid w:val="00C360E9"/>
    <w:rsid w:val="00C4704F"/>
    <w:rsid w:val="00CA5396"/>
    <w:rsid w:val="00CD33BD"/>
    <w:rsid w:val="00CF08D7"/>
    <w:rsid w:val="00D326AE"/>
    <w:rsid w:val="00DB2BA8"/>
    <w:rsid w:val="00E03395"/>
    <w:rsid w:val="00E50E04"/>
    <w:rsid w:val="00E84C03"/>
    <w:rsid w:val="00E9275E"/>
    <w:rsid w:val="00EA5B16"/>
    <w:rsid w:val="00ED7394"/>
    <w:rsid w:val="00EE2AD6"/>
    <w:rsid w:val="00F303E1"/>
    <w:rsid w:val="00F45AD2"/>
    <w:rsid w:val="00F55A6A"/>
    <w:rsid w:val="00F6365B"/>
    <w:rsid w:val="00FA2C2E"/>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customStyle="1" w:styleId="Tablaconcuadrcula4">
    <w:name w:val="Tabla con cuadrícula4"/>
    <w:basedOn w:val="Tablanormal"/>
    <w:next w:val="Tablaconcuadrcula"/>
    <w:uiPriority w:val="39"/>
    <w:rsid w:val="00F45AD2"/>
    <w:pPr>
      <w:spacing w:after="0" w:line="240" w:lineRule="auto"/>
    </w:pPr>
    <w:rPr>
      <w:rFonts w:cstheme="minorBidi"/>
      <w:sz w:val="21"/>
      <w:szCs w:val="21"/>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45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Códigos que explican la GC</a:t>
            </a:r>
            <a:r>
              <a:rPr lang="en-US" baseline="0"/>
              <a:t> y T  en la formación dual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Hoja2!$A$10:$A$15</c:f>
              <c:strCache>
                <c:ptCount val="6"/>
                <c:pt idx="0">
                  <c:v>Valor del stock de conocimiento o valor agregado</c:v>
                </c:pt>
                <c:pt idx="1">
                  <c:v>Aprendizaje en empresa</c:v>
                </c:pt>
                <c:pt idx="2">
                  <c:v>Tamaño de la empresa</c:v>
                </c:pt>
                <c:pt idx="3">
                  <c:v>Desnivel aula empresa</c:v>
                </c:pt>
                <c:pt idx="4">
                  <c:v>desarrollo de habilidades blandas</c:v>
                </c:pt>
                <c:pt idx="5">
                  <c:v>Articulación de conocimiento</c:v>
                </c:pt>
              </c:strCache>
            </c:strRef>
          </c:cat>
          <c:val>
            <c:numRef>
              <c:f>Hoja2!$B$10:$B$15</c:f>
            </c:numRef>
          </c:val>
          <c:extLst>
            <c:ext xmlns:c16="http://schemas.microsoft.com/office/drawing/2014/chart" uri="{C3380CC4-5D6E-409C-BE32-E72D297353CC}">
              <c16:uniqueId val="{00000000-74FB-460E-AF63-5ACB269A1EF3}"/>
            </c:ext>
          </c:extLst>
        </c:ser>
        <c:ser>
          <c:idx val="1"/>
          <c:order val="1"/>
          <c:spPr>
            <a:solidFill>
              <a:schemeClr val="accent2"/>
            </a:solidFill>
            <a:ln>
              <a:noFill/>
            </a:ln>
            <a:effectLst/>
            <a:sp3d/>
          </c:spPr>
          <c:invertIfNegative val="0"/>
          <c:cat>
            <c:strRef>
              <c:f>Hoja2!$A$10:$A$15</c:f>
              <c:strCache>
                <c:ptCount val="6"/>
                <c:pt idx="0">
                  <c:v>Valor del stock de conocimiento o valor agregado</c:v>
                </c:pt>
                <c:pt idx="1">
                  <c:v>Aprendizaje en empresa</c:v>
                </c:pt>
                <c:pt idx="2">
                  <c:v>Tamaño de la empresa</c:v>
                </c:pt>
                <c:pt idx="3">
                  <c:v>Desnivel aula empresa</c:v>
                </c:pt>
                <c:pt idx="4">
                  <c:v>desarrollo de habilidades blandas</c:v>
                </c:pt>
                <c:pt idx="5">
                  <c:v>Articulación de conocimiento</c:v>
                </c:pt>
              </c:strCache>
            </c:strRef>
          </c:cat>
          <c:val>
            <c:numRef>
              <c:f>Hoja2!$C$10:$C$15</c:f>
            </c:numRef>
          </c:val>
          <c:extLst>
            <c:ext xmlns:c16="http://schemas.microsoft.com/office/drawing/2014/chart" uri="{C3380CC4-5D6E-409C-BE32-E72D297353CC}">
              <c16:uniqueId val="{00000001-74FB-460E-AF63-5ACB269A1EF3}"/>
            </c:ext>
          </c:extLst>
        </c:ser>
        <c:ser>
          <c:idx val="2"/>
          <c:order val="2"/>
          <c:spPr>
            <a:solidFill>
              <a:schemeClr val="accent2">
                <a:lumMod val="50000"/>
              </a:schemeClr>
            </a:solidFill>
            <a:ln>
              <a:noFill/>
            </a:ln>
            <a:effectLst/>
            <a:sp3d/>
          </c:spPr>
          <c:invertIfNegative val="0"/>
          <c:dPt>
            <c:idx val="1"/>
            <c:invertIfNegative val="0"/>
            <c:bubble3D val="0"/>
            <c:spPr>
              <a:solidFill>
                <a:srgbClr val="FFC000"/>
              </a:solidFill>
              <a:ln>
                <a:noFill/>
              </a:ln>
              <a:effectLst/>
              <a:sp3d/>
            </c:spPr>
            <c:extLst>
              <c:ext xmlns:c16="http://schemas.microsoft.com/office/drawing/2014/chart" uri="{C3380CC4-5D6E-409C-BE32-E72D297353CC}">
                <c16:uniqueId val="{00000003-74FB-460E-AF63-5ACB269A1EF3}"/>
              </c:ext>
            </c:extLst>
          </c:dPt>
          <c:dPt>
            <c:idx val="2"/>
            <c:invertIfNegative val="0"/>
            <c:bubble3D val="0"/>
            <c:spPr>
              <a:solidFill>
                <a:srgbClr val="FF0000"/>
              </a:solidFill>
              <a:ln>
                <a:noFill/>
              </a:ln>
              <a:effectLst/>
              <a:sp3d/>
            </c:spPr>
            <c:extLst>
              <c:ext xmlns:c16="http://schemas.microsoft.com/office/drawing/2014/chart" uri="{C3380CC4-5D6E-409C-BE32-E72D297353CC}">
                <c16:uniqueId val="{00000005-74FB-460E-AF63-5ACB269A1EF3}"/>
              </c:ext>
            </c:extLst>
          </c:dPt>
          <c:dPt>
            <c:idx val="3"/>
            <c:invertIfNegative val="0"/>
            <c:bubble3D val="0"/>
            <c:spPr>
              <a:solidFill>
                <a:srgbClr val="002060"/>
              </a:solidFill>
              <a:ln>
                <a:noFill/>
              </a:ln>
              <a:effectLst/>
              <a:sp3d/>
            </c:spPr>
            <c:extLst>
              <c:ext xmlns:c16="http://schemas.microsoft.com/office/drawing/2014/chart" uri="{C3380CC4-5D6E-409C-BE32-E72D297353CC}">
                <c16:uniqueId val="{00000007-74FB-460E-AF63-5ACB269A1EF3}"/>
              </c:ext>
            </c:extLst>
          </c:dPt>
          <c:dPt>
            <c:idx val="4"/>
            <c:invertIfNegative val="0"/>
            <c:bubble3D val="0"/>
            <c:spPr>
              <a:solidFill>
                <a:schemeClr val="accent6">
                  <a:lumMod val="50000"/>
                </a:schemeClr>
              </a:solidFill>
              <a:ln>
                <a:noFill/>
              </a:ln>
              <a:effectLst/>
              <a:sp3d/>
            </c:spPr>
            <c:extLst>
              <c:ext xmlns:c16="http://schemas.microsoft.com/office/drawing/2014/chart" uri="{C3380CC4-5D6E-409C-BE32-E72D297353CC}">
                <c16:uniqueId val="{00000009-74FB-460E-AF63-5ACB269A1EF3}"/>
              </c:ext>
            </c:extLst>
          </c:dPt>
          <c:dPt>
            <c:idx val="5"/>
            <c:invertIfNegative val="0"/>
            <c:bubble3D val="0"/>
            <c:spPr>
              <a:solidFill>
                <a:schemeClr val="accent4">
                  <a:lumMod val="50000"/>
                </a:schemeClr>
              </a:solidFill>
              <a:ln>
                <a:noFill/>
              </a:ln>
              <a:effectLst/>
              <a:sp3d/>
            </c:spPr>
            <c:extLst>
              <c:ext xmlns:c16="http://schemas.microsoft.com/office/drawing/2014/chart" uri="{C3380CC4-5D6E-409C-BE32-E72D297353CC}">
                <c16:uniqueId val="{0000000B-74FB-460E-AF63-5ACB269A1EF3}"/>
              </c:ext>
            </c:extLst>
          </c:dPt>
          <c:cat>
            <c:strRef>
              <c:f>Hoja2!$A$10:$A$15</c:f>
              <c:strCache>
                <c:ptCount val="6"/>
                <c:pt idx="0">
                  <c:v>Valor del stock de conocimiento o valor agregado</c:v>
                </c:pt>
                <c:pt idx="1">
                  <c:v>Aprendizaje en empresa</c:v>
                </c:pt>
                <c:pt idx="2">
                  <c:v>Tamaño de la empresa</c:v>
                </c:pt>
                <c:pt idx="3">
                  <c:v>Desnivel aula empresa</c:v>
                </c:pt>
                <c:pt idx="4">
                  <c:v>desarrollo de habilidades blandas</c:v>
                </c:pt>
                <c:pt idx="5">
                  <c:v>Articulación de conocimiento</c:v>
                </c:pt>
              </c:strCache>
            </c:strRef>
          </c:cat>
          <c:val>
            <c:numRef>
              <c:f>Hoja2!$D$10:$D$15</c:f>
              <c:numCache>
                <c:formatCode>0.00</c:formatCode>
                <c:ptCount val="6"/>
                <c:pt idx="0">
                  <c:v>14.43089430894309</c:v>
                </c:pt>
                <c:pt idx="1">
                  <c:v>12.804878048780488</c:v>
                </c:pt>
                <c:pt idx="2">
                  <c:v>11.991869918699187</c:v>
                </c:pt>
                <c:pt idx="3">
                  <c:v>9.7560975609756095</c:v>
                </c:pt>
                <c:pt idx="4">
                  <c:v>7.1138211382113825</c:v>
                </c:pt>
                <c:pt idx="5">
                  <c:v>6.0975609756097562</c:v>
                </c:pt>
              </c:numCache>
            </c:numRef>
          </c:val>
          <c:extLst>
            <c:ext xmlns:c16="http://schemas.microsoft.com/office/drawing/2014/chart" uri="{C3380CC4-5D6E-409C-BE32-E72D297353CC}">
              <c16:uniqueId val="{0000000C-74FB-460E-AF63-5ACB269A1EF3}"/>
            </c:ext>
          </c:extLst>
        </c:ser>
        <c:dLbls>
          <c:showLegendKey val="0"/>
          <c:showVal val="0"/>
          <c:showCatName val="0"/>
          <c:showSerName val="0"/>
          <c:showPercent val="0"/>
          <c:showBubbleSize val="0"/>
        </c:dLbls>
        <c:gapWidth val="150"/>
        <c:shape val="box"/>
        <c:axId val="1151711008"/>
        <c:axId val="1151724736"/>
        <c:axId val="0"/>
      </c:bar3DChart>
      <c:catAx>
        <c:axId val="1151711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Códigos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1151724736"/>
        <c:crosses val="autoZero"/>
        <c:auto val="1"/>
        <c:lblAlgn val="ctr"/>
        <c:lblOffset val="100"/>
        <c:noMultiLvlLbl val="0"/>
      </c:catAx>
      <c:valAx>
        <c:axId val="1151724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frecuencia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5171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ca-ES" sz="1100" b="1"/>
              <a:t>Procesos que generan conocimiento en la formación dual</a:t>
            </a:r>
            <a:endParaRPr lang="en-US" sz="1100" b="1"/>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radarChart>
        <c:radarStyle val="marker"/>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Hoja1!$A$1:$A$10</c:f>
              <c:strCache>
                <c:ptCount val="10"/>
                <c:pt idx="0">
                  <c:v>Proyecto practico en empresa</c:v>
                </c:pt>
                <c:pt idx="1">
                  <c:v>Team teaching</c:v>
                </c:pt>
                <c:pt idx="2">
                  <c:v>Reuniones  docentes empresarios </c:v>
                </c:pt>
                <c:pt idx="3">
                  <c:v>Tamaño de la empresa</c:v>
                </c:pt>
                <c:pt idx="4">
                  <c:v>Planes de rotación </c:v>
                </c:pt>
                <c:pt idx="5">
                  <c:v> Práctica empresarial</c:v>
                </c:pt>
                <c:pt idx="6">
                  <c:v>Metodología proyectos</c:v>
                </c:pt>
                <c:pt idx="7">
                  <c:v>Autoaprendizaje en la práctica</c:v>
                </c:pt>
                <c:pt idx="8">
                  <c:v>Trabajo de grado </c:v>
                </c:pt>
                <c:pt idx="9">
                  <c:v>Visita empresariales para determinar necesidades</c:v>
                </c:pt>
              </c:strCache>
            </c:strRef>
          </c:cat>
          <c:val>
            <c:numRef>
              <c:f>Hoja1!$B$1:$B$10</c:f>
            </c:numRef>
          </c:val>
          <c:extLst>
            <c:ext xmlns:c16="http://schemas.microsoft.com/office/drawing/2014/chart" uri="{C3380CC4-5D6E-409C-BE32-E72D297353CC}">
              <c16:uniqueId val="{00000000-1ABC-40C1-9C1B-3CF81D1506CF}"/>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Hoja1!$A$1:$A$10</c:f>
              <c:strCache>
                <c:ptCount val="10"/>
                <c:pt idx="0">
                  <c:v>Proyecto practico en empresa</c:v>
                </c:pt>
                <c:pt idx="1">
                  <c:v>Team teaching</c:v>
                </c:pt>
                <c:pt idx="2">
                  <c:v>Reuniones  docentes empresarios </c:v>
                </c:pt>
                <c:pt idx="3">
                  <c:v>Tamaño de la empresa</c:v>
                </c:pt>
                <c:pt idx="4">
                  <c:v>Planes de rotación </c:v>
                </c:pt>
                <c:pt idx="5">
                  <c:v> Práctica empresarial</c:v>
                </c:pt>
                <c:pt idx="6">
                  <c:v>Metodología proyectos</c:v>
                </c:pt>
                <c:pt idx="7">
                  <c:v>Autoaprendizaje en la práctica</c:v>
                </c:pt>
                <c:pt idx="8">
                  <c:v>Trabajo de grado </c:v>
                </c:pt>
                <c:pt idx="9">
                  <c:v>Visita empresariales para determinar necesidades</c:v>
                </c:pt>
              </c:strCache>
            </c:strRef>
          </c:cat>
          <c:val>
            <c:numRef>
              <c:f>Hoja1!$C$1:$C$10</c:f>
              <c:numCache>
                <c:formatCode>0.00</c:formatCode>
                <c:ptCount val="10"/>
                <c:pt idx="0">
                  <c:v>6.8493150684931505</c:v>
                </c:pt>
                <c:pt idx="1">
                  <c:v>6.8493150684931505</c:v>
                </c:pt>
                <c:pt idx="2">
                  <c:v>6.3926940639269407</c:v>
                </c:pt>
                <c:pt idx="3">
                  <c:v>5.4794520547945202</c:v>
                </c:pt>
                <c:pt idx="4">
                  <c:v>5.4794520547945202</c:v>
                </c:pt>
                <c:pt idx="5">
                  <c:v>5.0228310502283104</c:v>
                </c:pt>
                <c:pt idx="6">
                  <c:v>5.0228310502283104</c:v>
                </c:pt>
                <c:pt idx="7">
                  <c:v>4.5662100456621006</c:v>
                </c:pt>
                <c:pt idx="8">
                  <c:v>4.5662100456621006</c:v>
                </c:pt>
                <c:pt idx="9">
                  <c:v>4.1095890410958908</c:v>
                </c:pt>
              </c:numCache>
            </c:numRef>
          </c:val>
          <c:extLst>
            <c:ext xmlns:c16="http://schemas.microsoft.com/office/drawing/2014/chart" uri="{C3380CC4-5D6E-409C-BE32-E72D297353CC}">
              <c16:uniqueId val="{00000001-1ABC-40C1-9C1B-3CF81D1506CF}"/>
            </c:ext>
          </c:extLst>
        </c:ser>
        <c:dLbls>
          <c:showLegendKey val="0"/>
          <c:showVal val="0"/>
          <c:showCatName val="0"/>
          <c:showSerName val="0"/>
          <c:showPercent val="0"/>
          <c:showBubbleSize val="0"/>
        </c:dLbls>
        <c:axId val="1151709344"/>
        <c:axId val="1151715584"/>
      </c:radarChart>
      <c:catAx>
        <c:axId val="115170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crossAx val="1151715584"/>
        <c:crosses val="autoZero"/>
        <c:auto val="1"/>
        <c:lblAlgn val="ctr"/>
        <c:lblOffset val="100"/>
        <c:noMultiLvlLbl val="0"/>
      </c:catAx>
      <c:valAx>
        <c:axId val="115171558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151709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8D23D-587E-4990-94B4-A41FA0A1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3025</Words>
  <Characters>17429</Characters>
  <Application>Microsoft Office Word</Application>
  <DocSecurity>0</DocSecurity>
  <Lines>458</Lines>
  <Paragraphs>319</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Adela Margarita Velez Rolon</cp:lastModifiedBy>
  <cp:revision>2</cp:revision>
  <cp:lastPrinted>2012-03-19T09:44:00Z</cp:lastPrinted>
  <dcterms:created xsi:type="dcterms:W3CDTF">2023-01-10T16:27:00Z</dcterms:created>
  <dcterms:modified xsi:type="dcterms:W3CDTF">2023-01-10T16:27:00Z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d0f97967bdafc3fac288716ca6c13f72fdd625cc1f4938d3cc423f36ed76ed46</vt:lpwstr>
  </property>
</Properties>
</file>