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C191" w14:textId="77777777" w:rsidR="002B7CA3" w:rsidRPr="002B7CA3" w:rsidRDefault="002B7CA3" w:rsidP="005C6FBD">
      <w:pPr>
        <w:pStyle w:val="Ttulo"/>
        <w:rPr>
          <w:sz w:val="2"/>
        </w:rPr>
      </w:pPr>
    </w:p>
    <w:p w14:paraId="05F48D54" w14:textId="3DCD0A3D" w:rsidR="00B57162" w:rsidRPr="005C6FBD" w:rsidRDefault="00B57162" w:rsidP="005C6FBD">
      <w:pPr>
        <w:pStyle w:val="Ttulo"/>
        <w:jc w:val="both"/>
        <w:rPr>
          <w:b w:val="0"/>
          <w:bCs w:val="0"/>
          <w:i/>
          <w:iCs/>
          <w:sz w:val="16"/>
          <w:szCs w:val="16"/>
        </w:rPr>
      </w:pPr>
      <w:r w:rsidRPr="005C6FBD">
        <w:t xml:space="preserve">Tipo de aportación: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rsidRPr="005C6FBD" w14:paraId="6574813D" w14:textId="77777777" w:rsidTr="4E735AF3">
        <w:trPr>
          <w:trHeight w:val="451"/>
        </w:trPr>
        <w:tc>
          <w:tcPr>
            <w:tcW w:w="709" w:type="dxa"/>
          </w:tcPr>
          <w:p w14:paraId="11DE8518" w14:textId="26893152" w:rsidR="00A86C41" w:rsidRPr="005C6FBD" w:rsidRDefault="4E735AF3" w:rsidP="005C6FBD">
            <w:pPr>
              <w:pStyle w:val="Ttulo"/>
              <w:rPr>
                <w:sz w:val="16"/>
                <w:szCs w:val="16"/>
              </w:rPr>
            </w:pPr>
            <w:r w:rsidRPr="005C6FBD">
              <w:rPr>
                <w:sz w:val="16"/>
                <w:szCs w:val="16"/>
              </w:rPr>
              <w:t>X</w:t>
            </w:r>
          </w:p>
        </w:tc>
        <w:tc>
          <w:tcPr>
            <w:tcW w:w="6804" w:type="dxa"/>
            <w:vAlign w:val="center"/>
          </w:tcPr>
          <w:p w14:paraId="20A49854" w14:textId="77777777" w:rsidR="00A86C41" w:rsidRPr="005C6FBD" w:rsidRDefault="00E03395" w:rsidP="005C6FBD">
            <w:pPr>
              <w:pStyle w:val="Ttulo"/>
              <w:jc w:val="left"/>
              <w:rPr>
                <w:sz w:val="16"/>
                <w:szCs w:val="16"/>
              </w:rPr>
            </w:pPr>
            <w:r w:rsidRPr="005C6FBD">
              <w:rPr>
                <w:sz w:val="16"/>
                <w:szCs w:val="16"/>
              </w:rPr>
              <w:t>Comunicación</w:t>
            </w:r>
            <w:r w:rsidR="002D483B" w:rsidRPr="005C6FBD">
              <w:rPr>
                <w:sz w:val="16"/>
                <w:szCs w:val="16"/>
              </w:rPr>
              <w:t xml:space="preserve"> - Investigación</w:t>
            </w:r>
          </w:p>
        </w:tc>
      </w:tr>
    </w:tbl>
    <w:p w14:paraId="21373761" w14:textId="7E0E9787" w:rsidR="00B57162" w:rsidRPr="005C6FBD" w:rsidRDefault="00B57162" w:rsidP="005C6FBD">
      <w:pPr>
        <w:pStyle w:val="Ttulo"/>
        <w:jc w:val="both"/>
        <w:rPr>
          <w:b w:val="0"/>
          <w:bCs w:val="0"/>
          <w:i/>
          <w:iCs/>
          <w:sz w:val="16"/>
          <w:szCs w:val="16"/>
        </w:rPr>
      </w:pPr>
      <w:r w:rsidRPr="005C6FBD">
        <w:t xml:space="preserve">Temática de la aportación: </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5C6FBD" w14:paraId="499F3BF4" w14:textId="77777777" w:rsidTr="4E735AF3">
        <w:trPr>
          <w:trHeight w:val="451"/>
        </w:trPr>
        <w:tc>
          <w:tcPr>
            <w:tcW w:w="709" w:type="dxa"/>
          </w:tcPr>
          <w:p w14:paraId="09ABDB31" w14:textId="0769E6CF" w:rsidR="00174B22" w:rsidRPr="005C6FBD" w:rsidRDefault="4E735AF3" w:rsidP="005C6FBD">
            <w:pPr>
              <w:pStyle w:val="Ttulo"/>
              <w:rPr>
                <w:sz w:val="16"/>
                <w:szCs w:val="16"/>
              </w:rPr>
            </w:pPr>
            <w:r w:rsidRPr="005C6FBD">
              <w:rPr>
                <w:sz w:val="16"/>
                <w:szCs w:val="16"/>
              </w:rPr>
              <w:t>X</w:t>
            </w:r>
          </w:p>
        </w:tc>
        <w:tc>
          <w:tcPr>
            <w:tcW w:w="6804" w:type="dxa"/>
          </w:tcPr>
          <w:p w14:paraId="33EE3150" w14:textId="65DA0713" w:rsidR="00174B22" w:rsidRPr="005C6FBD" w:rsidRDefault="00174B22" w:rsidP="005C6FBD">
            <w:pPr>
              <w:pStyle w:val="Ttulo"/>
              <w:jc w:val="left"/>
              <w:rPr>
                <w:sz w:val="16"/>
                <w:szCs w:val="16"/>
              </w:rPr>
            </w:pPr>
            <w:r w:rsidRPr="005C6FBD">
              <w:rPr>
                <w:sz w:val="16"/>
                <w:szCs w:val="16"/>
              </w:rPr>
              <w:t>El nuevo sentido del aprendizaje y de la formación en las organizaciones</w:t>
            </w:r>
          </w:p>
        </w:tc>
      </w:tr>
    </w:tbl>
    <w:p w14:paraId="3B0B7CC3" w14:textId="77777777" w:rsidR="00AF1DB7" w:rsidRPr="005C6FBD" w:rsidRDefault="00AF1DB7" w:rsidP="005C6FBD">
      <w:pPr>
        <w:pBdr>
          <w:bottom w:val="single" w:sz="6" w:space="1" w:color="auto"/>
        </w:pBdr>
        <w:spacing w:line="240" w:lineRule="auto"/>
        <w:rPr>
          <w:rFonts w:ascii="Times New Roman" w:hAnsi="Times New Roman"/>
          <w:b/>
        </w:rPr>
      </w:pPr>
    </w:p>
    <w:p w14:paraId="3ECC325B" w14:textId="3AB49BE2" w:rsidR="00E6124E" w:rsidRPr="005C6FBD" w:rsidRDefault="102A414A" w:rsidP="005C6FBD">
      <w:pPr>
        <w:jc w:val="center"/>
        <w:rPr>
          <w:rFonts w:ascii="Times New Roman" w:hAnsi="Times New Roman"/>
          <w:b/>
          <w:bCs/>
          <w:sz w:val="32"/>
          <w:szCs w:val="32"/>
        </w:rPr>
      </w:pPr>
      <w:r w:rsidRPr="005C6FBD">
        <w:rPr>
          <w:rFonts w:ascii="Times New Roman" w:hAnsi="Times New Roman"/>
          <w:b/>
          <w:bCs/>
          <w:sz w:val="32"/>
          <w:szCs w:val="32"/>
        </w:rPr>
        <w:t xml:space="preserve"> DIGITALIZACIÓN E INNOVACIÓN EN LAS ORGANIZACIONES EDUCATIVAS: UN NUEVO SENTIDO DEL APRENDIZAJE EN LA FORMACIÓN PROFESIONAL </w:t>
      </w:r>
    </w:p>
    <w:p w14:paraId="4BAE88E5" w14:textId="4307714D" w:rsidR="4E735AF3" w:rsidRPr="005C6FBD" w:rsidRDefault="2689E3B7" w:rsidP="005C6FBD">
      <w:pPr>
        <w:spacing w:line="240" w:lineRule="auto"/>
        <w:jc w:val="right"/>
        <w:rPr>
          <w:rFonts w:ascii="Times New Roman" w:hAnsi="Times New Roman"/>
          <w:b/>
          <w:bCs/>
          <w:sz w:val="24"/>
          <w:szCs w:val="24"/>
        </w:rPr>
      </w:pPr>
      <w:r w:rsidRPr="005C6FBD">
        <w:rPr>
          <w:rFonts w:ascii="Times New Roman" w:hAnsi="Times New Roman"/>
          <w:b/>
          <w:bCs/>
          <w:sz w:val="24"/>
          <w:szCs w:val="24"/>
        </w:rPr>
        <w:t>Paloma Sepúlveda-Parrini1, Mónica Torres-Sánchez2, Ingrid Noguera-Fructuoso1, María Belando-Montoro3</w:t>
      </w:r>
    </w:p>
    <w:p w14:paraId="0C0F5A14" w14:textId="64AF2870" w:rsidR="4E735AF3" w:rsidRPr="005C6FBD" w:rsidRDefault="2689E3B7" w:rsidP="005C6FBD">
      <w:pPr>
        <w:spacing w:line="240" w:lineRule="auto"/>
        <w:jc w:val="right"/>
        <w:rPr>
          <w:rFonts w:ascii="Times New Roman" w:hAnsi="Times New Roman"/>
          <w:sz w:val="24"/>
          <w:szCs w:val="24"/>
        </w:rPr>
      </w:pPr>
      <w:r w:rsidRPr="005C6FBD">
        <w:rPr>
          <w:rFonts w:ascii="Times New Roman" w:hAnsi="Times New Roman"/>
          <w:sz w:val="24"/>
          <w:szCs w:val="24"/>
        </w:rPr>
        <w:t xml:space="preserve">1Unversitat </w:t>
      </w:r>
      <w:proofErr w:type="spellStart"/>
      <w:r w:rsidRPr="005C6FBD">
        <w:rPr>
          <w:rFonts w:ascii="Times New Roman" w:hAnsi="Times New Roman"/>
          <w:sz w:val="24"/>
          <w:szCs w:val="24"/>
        </w:rPr>
        <w:t>Autònoma</w:t>
      </w:r>
      <w:proofErr w:type="spellEnd"/>
      <w:r w:rsidRPr="005C6FBD">
        <w:rPr>
          <w:rFonts w:ascii="Times New Roman" w:hAnsi="Times New Roman"/>
          <w:sz w:val="24"/>
          <w:szCs w:val="24"/>
        </w:rPr>
        <w:t xml:space="preserve"> de Barcelona, España. </w:t>
      </w:r>
    </w:p>
    <w:p w14:paraId="40A44362" w14:textId="26BC488A" w:rsidR="4E735AF3" w:rsidRPr="005C6FBD" w:rsidRDefault="2689E3B7" w:rsidP="005C6FBD">
      <w:pPr>
        <w:spacing w:line="240" w:lineRule="auto"/>
        <w:jc w:val="right"/>
        <w:rPr>
          <w:rFonts w:ascii="Times New Roman" w:hAnsi="Times New Roman"/>
          <w:sz w:val="24"/>
          <w:szCs w:val="24"/>
        </w:rPr>
      </w:pPr>
      <w:r w:rsidRPr="005C6FBD">
        <w:rPr>
          <w:rFonts w:ascii="Times New Roman" w:hAnsi="Times New Roman"/>
          <w:sz w:val="24"/>
          <w:szCs w:val="24"/>
        </w:rPr>
        <w:t xml:space="preserve">2Universidad de Málaga, España. </w:t>
      </w:r>
    </w:p>
    <w:p w14:paraId="7AB2A435" w14:textId="454D9B3E" w:rsidR="4E735AF3" w:rsidRPr="005C6FBD" w:rsidRDefault="2689E3B7" w:rsidP="005C6FBD">
      <w:pPr>
        <w:spacing w:line="240" w:lineRule="auto"/>
        <w:jc w:val="right"/>
        <w:rPr>
          <w:rFonts w:ascii="Times New Roman" w:hAnsi="Times New Roman"/>
          <w:sz w:val="24"/>
          <w:szCs w:val="24"/>
        </w:rPr>
      </w:pPr>
      <w:r w:rsidRPr="005C6FBD">
        <w:rPr>
          <w:rFonts w:ascii="Times New Roman" w:hAnsi="Times New Roman"/>
          <w:sz w:val="24"/>
          <w:szCs w:val="24"/>
        </w:rPr>
        <w:t xml:space="preserve">3Universidad Complutense de Madrid, España. </w:t>
      </w:r>
    </w:p>
    <w:p w14:paraId="11BE0D1F" w14:textId="540F6605" w:rsidR="00FA3299" w:rsidRPr="005C6FBD" w:rsidRDefault="763DA0C5" w:rsidP="005C6FBD">
      <w:pPr>
        <w:spacing w:line="240" w:lineRule="auto"/>
        <w:jc w:val="both"/>
        <w:rPr>
          <w:rFonts w:ascii="Times New Roman" w:hAnsi="Times New Roman"/>
          <w:i/>
          <w:iCs/>
          <w:sz w:val="26"/>
          <w:szCs w:val="26"/>
        </w:rPr>
      </w:pPr>
      <w:r w:rsidRPr="005C6FBD">
        <w:rPr>
          <w:rFonts w:ascii="Times New Roman" w:hAnsi="Times New Roman"/>
          <w:b/>
          <w:bCs/>
          <w:i/>
          <w:iCs/>
          <w:sz w:val="26"/>
          <w:szCs w:val="26"/>
        </w:rPr>
        <w:t xml:space="preserve">Resumen </w:t>
      </w:r>
    </w:p>
    <w:p w14:paraId="0584D159" w14:textId="0807AA19" w:rsidR="763DA0C5"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La </w:t>
      </w:r>
      <w:proofErr w:type="spellStart"/>
      <w:r w:rsidRPr="005C6FBD">
        <w:rPr>
          <w:rFonts w:ascii="Times New Roman" w:hAnsi="Times New Roman"/>
          <w:sz w:val="24"/>
          <w:szCs w:val="24"/>
        </w:rPr>
        <w:t>tecnologización</w:t>
      </w:r>
      <w:proofErr w:type="spellEnd"/>
      <w:r w:rsidRPr="005C6FBD">
        <w:rPr>
          <w:rFonts w:ascii="Times New Roman" w:hAnsi="Times New Roman"/>
          <w:sz w:val="24"/>
          <w:szCs w:val="24"/>
        </w:rPr>
        <w:t xml:space="preserve"> de la sociedad, así como las nuevas necesidades de aprendizaje de los y las estudiantes apremiados por la pandemia, han colaborado a impulsar la renovación de las instituciones educativas. La presente comunicación analiza los cambios en las estrategias docentes y el uso de tecnologías en la Formación Profesional desde la mirada de docentes y estudiantes. La muestra se compone de 158 docentes y 460 estudiantes que fueron encuestados durante el curso académico 2021-2022. A partir de sus respuestas, analizamos los nuevos escenarios de digitalización e innovación en los centros. Los hallazgos señalan que existe un incremento de las estrategias docentes activas, autónomas y situadas y, en menor medida, de las magistrales, así como una valoración positiva del alumnado sobre la flexibilidad y diversidad en el uso de estas para facilitar su aprendizaje.  </w:t>
      </w:r>
    </w:p>
    <w:p w14:paraId="4F51E7DB" w14:textId="0852332A" w:rsidR="003A1870" w:rsidRPr="005C6FBD" w:rsidRDefault="2689E3B7" w:rsidP="005C6FBD">
      <w:pPr>
        <w:spacing w:line="240" w:lineRule="auto"/>
        <w:jc w:val="both"/>
        <w:rPr>
          <w:rFonts w:ascii="Times New Roman" w:hAnsi="Times New Roman"/>
          <w:i/>
          <w:iCs/>
          <w:sz w:val="26"/>
          <w:szCs w:val="26"/>
        </w:rPr>
      </w:pPr>
      <w:r w:rsidRPr="005C6FBD">
        <w:rPr>
          <w:rFonts w:ascii="Times New Roman" w:hAnsi="Times New Roman"/>
          <w:b/>
          <w:bCs/>
          <w:i/>
          <w:iCs/>
          <w:sz w:val="26"/>
          <w:szCs w:val="26"/>
        </w:rPr>
        <w:t xml:space="preserve">1.1. Introducción </w:t>
      </w:r>
    </w:p>
    <w:p w14:paraId="50626A8C" w14:textId="28D19044" w:rsidR="2689E3B7"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La Formación Profesional (FP) tiene el potencial de ser flexible, promoviendo un mejor encaje de los aprendizajes con las competencias que requiere el mercado laboral y así facilitar una rápida inserción laboral. Para ello, la FP debe anticiparse a las competencias laborales necesarias para formar a los/as futuros trabajadores/as a adaptarse a las nuevas situaciones (Calero &amp; Rodríguez-López, 2020). Además, debe ser capaz de configurarse como un agente de transformación hacia el futuro (McGrath et al., 2022) en el marco de la era digital (</w:t>
      </w:r>
      <w:proofErr w:type="spellStart"/>
      <w:r w:rsidRPr="005C6FBD">
        <w:rPr>
          <w:rFonts w:ascii="Times New Roman" w:hAnsi="Times New Roman"/>
          <w:sz w:val="24"/>
          <w:szCs w:val="24"/>
        </w:rPr>
        <w:t>Guo</w:t>
      </w:r>
      <w:proofErr w:type="spellEnd"/>
      <w:r w:rsidRPr="005C6FBD">
        <w:rPr>
          <w:rFonts w:ascii="Times New Roman" w:hAnsi="Times New Roman"/>
          <w:sz w:val="24"/>
          <w:szCs w:val="24"/>
        </w:rPr>
        <w:t xml:space="preserve"> et al., 2020). Entre los desafíos señalados por las agendas internacionales está la digitalización del sector; el desarrollo de competencias transversales y aplicadas (UNESCO, 2020); y los itinerarios de aprendizaje flexibles y los resultados del aprendizaje y enfoques basados en competencias (</w:t>
      </w:r>
      <w:proofErr w:type="spellStart"/>
      <w:r w:rsidRPr="005C6FBD">
        <w:rPr>
          <w:rFonts w:ascii="Times New Roman" w:hAnsi="Times New Roman"/>
          <w:sz w:val="24"/>
          <w:szCs w:val="24"/>
        </w:rPr>
        <w:t>Cedefop</w:t>
      </w:r>
      <w:proofErr w:type="spellEnd"/>
      <w:r w:rsidRPr="005C6FBD">
        <w:rPr>
          <w:rFonts w:ascii="Times New Roman" w:hAnsi="Times New Roman"/>
          <w:sz w:val="24"/>
          <w:szCs w:val="24"/>
        </w:rPr>
        <w:t xml:space="preserve">, 2022). </w:t>
      </w:r>
    </w:p>
    <w:p w14:paraId="4D520C2E" w14:textId="6A73BF74" w:rsidR="2689E3B7"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lastRenderedPageBreak/>
        <w:t>En este sentido, el interés por innovar a través de nuevas pedagogías y contextos mediados por las tecnologías en la FP cada vez mayor (</w:t>
      </w:r>
      <w:proofErr w:type="spellStart"/>
      <w:r w:rsidRPr="005C6FBD">
        <w:rPr>
          <w:rFonts w:ascii="Times New Roman" w:hAnsi="Times New Roman"/>
          <w:sz w:val="24"/>
          <w:szCs w:val="24"/>
        </w:rPr>
        <w:t>Usach</w:t>
      </w:r>
      <w:proofErr w:type="spellEnd"/>
      <w:r w:rsidRPr="005C6FBD">
        <w:rPr>
          <w:rFonts w:ascii="Times New Roman" w:hAnsi="Times New Roman"/>
          <w:sz w:val="24"/>
          <w:szCs w:val="24"/>
        </w:rPr>
        <w:t xml:space="preserve"> et al. 2020). En el escenario </w:t>
      </w:r>
      <w:proofErr w:type="gramStart"/>
      <w:r w:rsidRPr="005C6FBD">
        <w:rPr>
          <w:rFonts w:ascii="Times New Roman" w:hAnsi="Times New Roman"/>
          <w:sz w:val="24"/>
          <w:szCs w:val="24"/>
        </w:rPr>
        <w:t>post-pandemia</w:t>
      </w:r>
      <w:proofErr w:type="gramEnd"/>
      <w:r w:rsidRPr="005C6FBD">
        <w:rPr>
          <w:rFonts w:ascii="Times New Roman" w:hAnsi="Times New Roman"/>
          <w:sz w:val="24"/>
          <w:szCs w:val="24"/>
        </w:rPr>
        <w:t xml:space="preserve"> estos esfuerzos se han intensificado y han puesto foco en las estrategias docentes orientadas a la flexibilización (García-de-Paz y Santana, 2021; </w:t>
      </w:r>
      <w:proofErr w:type="spellStart"/>
      <w:r w:rsidRPr="005C6FBD">
        <w:rPr>
          <w:rFonts w:ascii="Times New Roman" w:hAnsi="Times New Roman"/>
          <w:sz w:val="24"/>
          <w:szCs w:val="24"/>
        </w:rPr>
        <w:t>Yuk-Kwan</w:t>
      </w:r>
      <w:proofErr w:type="spellEnd"/>
      <w:r w:rsidRPr="005C6FBD">
        <w:rPr>
          <w:rFonts w:ascii="Times New Roman" w:hAnsi="Times New Roman"/>
          <w:sz w:val="24"/>
          <w:szCs w:val="24"/>
        </w:rPr>
        <w:t xml:space="preserve"> et al., 2021).  </w:t>
      </w:r>
    </w:p>
    <w:p w14:paraId="4DD6792C" w14:textId="5A412919" w:rsidR="002B7CA3" w:rsidRPr="005C6FBD" w:rsidRDefault="763DA0C5" w:rsidP="005C6FBD">
      <w:pPr>
        <w:spacing w:line="240" w:lineRule="auto"/>
        <w:jc w:val="both"/>
        <w:rPr>
          <w:rFonts w:ascii="Times New Roman" w:hAnsi="Times New Roman"/>
          <w:i/>
          <w:iCs/>
          <w:sz w:val="26"/>
          <w:szCs w:val="26"/>
        </w:rPr>
      </w:pPr>
      <w:r w:rsidRPr="005C6FBD">
        <w:rPr>
          <w:rFonts w:ascii="Times New Roman" w:hAnsi="Times New Roman"/>
          <w:b/>
          <w:bCs/>
          <w:i/>
          <w:iCs/>
          <w:sz w:val="26"/>
          <w:szCs w:val="26"/>
        </w:rPr>
        <w:t xml:space="preserve">1.2. Contexto y objetivos </w:t>
      </w:r>
    </w:p>
    <w:p w14:paraId="50E9920D" w14:textId="0A7C8A3D" w:rsidR="00433C7D"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Esta comunicación se enmarca en el proyecto en curso </w:t>
      </w:r>
      <w:proofErr w:type="spellStart"/>
      <w:r w:rsidRPr="005C6FBD">
        <w:rPr>
          <w:rFonts w:ascii="Times New Roman" w:hAnsi="Times New Roman"/>
          <w:sz w:val="24"/>
          <w:szCs w:val="24"/>
        </w:rPr>
        <w:t>I+D+i</w:t>
      </w:r>
      <w:proofErr w:type="spellEnd"/>
      <w:r w:rsidRPr="005C6FBD">
        <w:rPr>
          <w:rFonts w:ascii="Times New Roman" w:hAnsi="Times New Roman"/>
          <w:sz w:val="24"/>
          <w:szCs w:val="24"/>
        </w:rPr>
        <w:t xml:space="preserve"> (PDI2020-112842RB-I00) titulado “Ser FP en España: Trayectorias de éxito y valor social en la Formación Profesional”. El objetivo es analizar los nuevos escenarios de digitalización e innovación docente en los centros de FP de Cataluña. Para ello, exploramos la visión de profesorado y alumnado sobre las estrategias docentes implementadas durante el curso escolar 2021-22.</w:t>
      </w:r>
    </w:p>
    <w:p w14:paraId="3131395E" w14:textId="5026A474" w:rsidR="002B7CA3" w:rsidRPr="005C6FBD" w:rsidRDefault="2689E3B7" w:rsidP="005C6FBD">
      <w:pPr>
        <w:spacing w:line="240" w:lineRule="auto"/>
        <w:ind w:firstLine="284"/>
        <w:jc w:val="both"/>
        <w:rPr>
          <w:rFonts w:ascii="Times New Roman" w:hAnsi="Times New Roman"/>
          <w:i/>
          <w:iCs/>
          <w:sz w:val="26"/>
          <w:szCs w:val="26"/>
        </w:rPr>
      </w:pPr>
      <w:r w:rsidRPr="005C6FBD">
        <w:rPr>
          <w:rFonts w:ascii="Times New Roman" w:hAnsi="Times New Roman"/>
          <w:b/>
          <w:bCs/>
          <w:i/>
          <w:iCs/>
          <w:sz w:val="26"/>
          <w:szCs w:val="26"/>
        </w:rPr>
        <w:t xml:space="preserve">1.3. Metodología </w:t>
      </w:r>
    </w:p>
    <w:p w14:paraId="089490D6" w14:textId="7BCA82FC" w:rsidR="4E735AF3"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Para alcanzar los objetivos planteados, se diseñó un estudio mixto, cuantitativo y cualitativo, que incluía dos cuestionarios en línea, uno al profesorado y otro al alumnado de FP. Los cuestionarios se administraron en mayo de 2022. En esta comunicación nos basaremos exclusivamente en los datos recogidos sobre el uso de las estrategias docentes y la valoración que realiza el alumnado sobre su aprendizaje.</w:t>
      </w:r>
      <w:r w:rsidR="00C93CDF" w:rsidRPr="005C6FBD">
        <w:rPr>
          <w:rFonts w:ascii="Times New Roman" w:hAnsi="Times New Roman"/>
          <w:sz w:val="24"/>
          <w:szCs w:val="24"/>
        </w:rPr>
        <w:t xml:space="preserve"> </w:t>
      </w:r>
      <w:r w:rsidRPr="005C6FBD">
        <w:rPr>
          <w:rFonts w:ascii="Times New Roman" w:hAnsi="Times New Roman"/>
          <w:sz w:val="24"/>
          <w:szCs w:val="24"/>
        </w:rPr>
        <w:t>El estudio considera una muestra no probabilística para seleccionar a los participantes. Se envió una invitación a 352 centros de FP públicos de Cataluña, según la base de datos facilitada por el Departamento de Educación de la Generalitat de Cataluña.</w:t>
      </w:r>
      <w:r w:rsidR="00C93CDF" w:rsidRPr="005C6FBD">
        <w:rPr>
          <w:rFonts w:ascii="Times New Roman" w:hAnsi="Times New Roman"/>
          <w:sz w:val="24"/>
          <w:szCs w:val="24"/>
        </w:rPr>
        <w:t xml:space="preserve"> </w:t>
      </w:r>
      <w:r w:rsidRPr="005C6FBD">
        <w:rPr>
          <w:rFonts w:ascii="Times New Roman" w:hAnsi="Times New Roman"/>
          <w:sz w:val="24"/>
          <w:szCs w:val="24"/>
        </w:rPr>
        <w:t xml:space="preserve">La encuesta fue contestada por 597 estudiantes, de los cuales un 77% (n= 460) completaron la encuesta, considerados como válidos.  En el caso del profesorado, la encuesta fue contestada por 195, de los cuales un 81% (n= 158) completaron la encuesta, considerados como válidos.   </w:t>
      </w:r>
    </w:p>
    <w:p w14:paraId="5603B00A" w14:textId="2774A7F1" w:rsidR="4E735AF3" w:rsidRPr="005C6FBD" w:rsidRDefault="2689E3B7" w:rsidP="005C6FBD">
      <w:pPr>
        <w:spacing w:line="240" w:lineRule="auto"/>
        <w:ind w:firstLine="284"/>
        <w:jc w:val="both"/>
        <w:rPr>
          <w:rFonts w:ascii="Times New Roman" w:hAnsi="Times New Roman"/>
          <w:i/>
          <w:iCs/>
          <w:sz w:val="24"/>
          <w:szCs w:val="24"/>
        </w:rPr>
      </w:pPr>
      <w:r w:rsidRPr="005C6FBD">
        <w:rPr>
          <w:rFonts w:ascii="Times New Roman" w:hAnsi="Times New Roman"/>
          <w:i/>
          <w:iCs/>
          <w:sz w:val="24"/>
          <w:szCs w:val="24"/>
        </w:rPr>
        <w:t>1.3.1. Instrumento</w:t>
      </w:r>
    </w:p>
    <w:p w14:paraId="542FF487" w14:textId="43B8BDDB" w:rsidR="00AD7E17"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La encuesta al profesorado consta de 21 ítems, mientras que la encuesta al alumnado consta de 64 ítems. En esta comunicación presentamos como elemento articulador de ambos instrumentos las estrategias docentes empleadas por el profesorado. La clasificación de estrategias fue construida a partir de clasificaciones previas de Noguera y Valdivia (2022) y Quesada et al. (2021). Definimos 15 estrategias docentes: sesión expositiva de contenidos, resolución de dudas, análisis y discusión de experiencias y situaciones de la vida real, simulaciones de la actividad profesional en el aula, visita de profesionales externos, visita a empresas, trabajo autónomo, seguimiento individualizado o grupal, debate y discusión, ejercicios prácticos, aula invertida, aprendizaje basado en retos, resolución de problemas, trabajo en grupo y presentaciones orales por parte del alumnado; que agrupamos en cuatro categorías: lección magistral, aprendizaje situado, aprendizaje autónomo y aprendizaje activo   En el caso del profesorado, se le solicitó que valorara el uso de cada estrategia según tres momentos (confinamiento, durante el curso escolar 2019-2020; </w:t>
      </w:r>
      <w:proofErr w:type="spellStart"/>
      <w:r w:rsidRPr="005C6FBD">
        <w:rPr>
          <w:rFonts w:ascii="Times New Roman" w:hAnsi="Times New Roman"/>
          <w:sz w:val="24"/>
          <w:szCs w:val="24"/>
        </w:rPr>
        <w:t>presencialidad</w:t>
      </w:r>
      <w:proofErr w:type="spellEnd"/>
      <w:r w:rsidRPr="005C6FBD">
        <w:rPr>
          <w:rFonts w:ascii="Times New Roman" w:hAnsi="Times New Roman"/>
          <w:sz w:val="24"/>
          <w:szCs w:val="24"/>
        </w:rPr>
        <w:t xml:space="preserve"> alterna durante el curso escolar 2020-21 y en actualidad durante el curso escolar 2021-22). En este estudio presentaremos los resultados del momento “actualidad”. Por su parte, al estudiantado, le pedimos que valorara su formación y aprendizaje a partir de tres dimensiones (estrategias didácticas utilizadas por el profesorado, herramientas tecnológicas utilizadas por el profesorado y módulos). </w:t>
      </w:r>
    </w:p>
    <w:p w14:paraId="5007F3A6" w14:textId="142224F5" w:rsidR="002B7CA3" w:rsidRPr="005C6FBD" w:rsidRDefault="2689E3B7" w:rsidP="005C6FBD">
      <w:pPr>
        <w:spacing w:line="240" w:lineRule="auto"/>
        <w:jc w:val="both"/>
        <w:rPr>
          <w:rFonts w:ascii="Times New Roman" w:hAnsi="Times New Roman"/>
          <w:i/>
          <w:iCs/>
          <w:sz w:val="26"/>
          <w:szCs w:val="26"/>
        </w:rPr>
      </w:pPr>
      <w:r w:rsidRPr="005C6FBD">
        <w:rPr>
          <w:rFonts w:ascii="Times New Roman" w:hAnsi="Times New Roman"/>
          <w:b/>
          <w:bCs/>
          <w:i/>
          <w:iCs/>
          <w:sz w:val="26"/>
          <w:szCs w:val="26"/>
        </w:rPr>
        <w:t xml:space="preserve">1.4. Resultados </w:t>
      </w:r>
    </w:p>
    <w:p w14:paraId="4CC23EF9" w14:textId="390D19BC" w:rsidR="002B7CA3" w:rsidRPr="005C6FBD" w:rsidRDefault="2689E3B7" w:rsidP="005C6FBD">
      <w:pPr>
        <w:spacing w:line="240" w:lineRule="auto"/>
        <w:ind w:firstLine="284"/>
        <w:jc w:val="both"/>
        <w:rPr>
          <w:rFonts w:ascii="Times New Roman" w:hAnsi="Times New Roman"/>
          <w:i/>
          <w:iCs/>
          <w:sz w:val="24"/>
          <w:szCs w:val="24"/>
        </w:rPr>
      </w:pPr>
      <w:r w:rsidRPr="005C6FBD">
        <w:rPr>
          <w:rFonts w:ascii="Times New Roman" w:hAnsi="Times New Roman"/>
          <w:i/>
          <w:iCs/>
          <w:sz w:val="24"/>
          <w:szCs w:val="24"/>
        </w:rPr>
        <w:t>1.4.1. Caracterización de la muestra</w:t>
      </w:r>
    </w:p>
    <w:p w14:paraId="1E65D958" w14:textId="07513629" w:rsidR="002B7CA3"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lastRenderedPageBreak/>
        <w:t xml:space="preserve">En la tabla 1 se muestra la distribución de la muestra de estudiantes según género, edad, tipo de prácticas, grado y familia profesional de la FP. </w:t>
      </w:r>
    </w:p>
    <w:p w14:paraId="4A600BAC" w14:textId="3F34E017" w:rsidR="002B7CA3" w:rsidRPr="005C6FBD" w:rsidRDefault="763DA0C5" w:rsidP="005C6FBD">
      <w:pPr>
        <w:spacing w:line="240" w:lineRule="auto"/>
        <w:jc w:val="center"/>
        <w:rPr>
          <w:rFonts w:ascii="Times New Roman" w:hAnsi="Times New Roman"/>
          <w:sz w:val="20"/>
          <w:szCs w:val="20"/>
        </w:rPr>
      </w:pPr>
      <w:r w:rsidRPr="005C6FBD">
        <w:rPr>
          <w:rFonts w:ascii="Times New Roman" w:hAnsi="Times New Roman"/>
          <w:b/>
          <w:bCs/>
          <w:sz w:val="20"/>
          <w:szCs w:val="20"/>
        </w:rPr>
        <w:t xml:space="preserve">Tabla 1. </w:t>
      </w:r>
      <w:r w:rsidRPr="005C6FBD">
        <w:rPr>
          <w:rFonts w:ascii="Times New Roman" w:hAnsi="Times New Roman"/>
          <w:sz w:val="20"/>
          <w:szCs w:val="20"/>
        </w:rPr>
        <w:t xml:space="preserve">Distribución de la muestra de estudiantes. </w:t>
      </w:r>
    </w:p>
    <w:tbl>
      <w:tblPr>
        <w:tblW w:w="0" w:type="auto"/>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070"/>
        <w:gridCol w:w="6705"/>
      </w:tblGrid>
      <w:tr w:rsidR="00AD7E17" w:rsidRPr="005C6FBD" w14:paraId="5D920781" w14:textId="77777777" w:rsidTr="39C17B5D">
        <w:trPr>
          <w:trHeight w:val="300"/>
        </w:trPr>
        <w:tc>
          <w:tcPr>
            <w:tcW w:w="2070" w:type="dxa"/>
            <w:tcBorders>
              <w:top w:val="single" w:sz="4" w:space="0" w:color="auto"/>
              <w:bottom w:val="single" w:sz="4" w:space="0" w:color="auto"/>
            </w:tcBorders>
            <w:shd w:val="clear" w:color="auto" w:fill="auto"/>
            <w:hideMark/>
          </w:tcPr>
          <w:p w14:paraId="7349D7E2" w14:textId="77777777"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Variable </w:t>
            </w:r>
          </w:p>
        </w:tc>
        <w:tc>
          <w:tcPr>
            <w:tcW w:w="6705" w:type="dxa"/>
            <w:tcBorders>
              <w:top w:val="single" w:sz="4" w:space="0" w:color="auto"/>
              <w:bottom w:val="single" w:sz="4" w:space="0" w:color="auto"/>
            </w:tcBorders>
            <w:shd w:val="clear" w:color="auto" w:fill="auto"/>
            <w:hideMark/>
          </w:tcPr>
          <w:p w14:paraId="72EBDD34" w14:textId="106F9F04"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 xml:space="preserve">Distribución </w:t>
            </w:r>
          </w:p>
        </w:tc>
      </w:tr>
      <w:tr w:rsidR="00AD7E17" w:rsidRPr="005C6FBD" w14:paraId="3DB427E5" w14:textId="77777777" w:rsidTr="39C17B5D">
        <w:trPr>
          <w:trHeight w:val="300"/>
        </w:trPr>
        <w:tc>
          <w:tcPr>
            <w:tcW w:w="2070" w:type="dxa"/>
            <w:tcBorders>
              <w:top w:val="single" w:sz="4" w:space="0" w:color="auto"/>
            </w:tcBorders>
            <w:shd w:val="clear" w:color="auto" w:fill="auto"/>
            <w:hideMark/>
          </w:tcPr>
          <w:p w14:paraId="4636C431" w14:textId="2292DE7D"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Género</w:t>
            </w:r>
          </w:p>
        </w:tc>
        <w:tc>
          <w:tcPr>
            <w:tcW w:w="6705" w:type="dxa"/>
            <w:tcBorders>
              <w:top w:val="single" w:sz="4" w:space="0" w:color="auto"/>
            </w:tcBorders>
            <w:shd w:val="clear" w:color="auto" w:fill="auto"/>
            <w:hideMark/>
          </w:tcPr>
          <w:p w14:paraId="3E116DF5" w14:textId="72358E0C"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37.2% femenino; 55.7% masculino </w:t>
            </w:r>
          </w:p>
        </w:tc>
      </w:tr>
      <w:tr w:rsidR="00AD7E17" w:rsidRPr="005C6FBD" w14:paraId="12AAA78D" w14:textId="77777777" w:rsidTr="39C17B5D">
        <w:trPr>
          <w:trHeight w:val="300"/>
        </w:trPr>
        <w:tc>
          <w:tcPr>
            <w:tcW w:w="2070" w:type="dxa"/>
            <w:shd w:val="clear" w:color="auto" w:fill="auto"/>
            <w:hideMark/>
          </w:tcPr>
          <w:p w14:paraId="436B5881" w14:textId="2CEF5AFA"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Edad  </w:t>
            </w:r>
          </w:p>
        </w:tc>
        <w:tc>
          <w:tcPr>
            <w:tcW w:w="6705" w:type="dxa"/>
            <w:shd w:val="clear" w:color="auto" w:fill="auto"/>
            <w:hideMark/>
          </w:tcPr>
          <w:p w14:paraId="082F1E50" w14:textId="1A595B96" w:rsidR="00AD7E17" w:rsidRPr="005C6FBD" w:rsidRDefault="39C17B5D" w:rsidP="005C6FBD">
            <w:pPr>
              <w:spacing w:before="100" w:beforeAutospacing="1" w:after="100" w:afterAutospacing="1" w:line="240" w:lineRule="auto"/>
              <w:textAlignment w:val="baseline"/>
              <w:rPr>
                <w:rFonts w:ascii="Times New Roman" w:hAnsi="Times New Roman"/>
                <w:sz w:val="21"/>
                <w:szCs w:val="21"/>
                <w:lang w:eastAsia="es-ES"/>
              </w:rPr>
            </w:pPr>
            <w:r w:rsidRPr="005C6FBD">
              <w:rPr>
                <w:rFonts w:ascii="Times New Roman" w:hAnsi="Times New Roman"/>
                <w:sz w:val="21"/>
                <w:szCs w:val="21"/>
                <w:lang w:eastAsia="es-ES"/>
              </w:rPr>
              <w:t>Media 19.0 años; desviación estándar 4.7 años </w:t>
            </w:r>
          </w:p>
        </w:tc>
      </w:tr>
      <w:tr w:rsidR="00AD7E17" w:rsidRPr="005C6FBD" w14:paraId="71871A52" w14:textId="77777777" w:rsidTr="39C17B5D">
        <w:trPr>
          <w:trHeight w:val="300"/>
        </w:trPr>
        <w:tc>
          <w:tcPr>
            <w:tcW w:w="2070" w:type="dxa"/>
            <w:shd w:val="clear" w:color="auto" w:fill="auto"/>
            <w:hideMark/>
          </w:tcPr>
          <w:p w14:paraId="37EA8073" w14:textId="74E94250"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Prácticas </w:t>
            </w:r>
          </w:p>
        </w:tc>
        <w:tc>
          <w:tcPr>
            <w:tcW w:w="6705" w:type="dxa"/>
            <w:shd w:val="clear" w:color="auto" w:fill="auto"/>
            <w:hideMark/>
          </w:tcPr>
          <w:p w14:paraId="3A4E8668" w14:textId="4736B4BF"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49.1% Módulo FCT (Formación en el lugar de trabajo)</w:t>
            </w:r>
            <w:r w:rsidRPr="005C6FBD">
              <w:rPr>
                <w:rFonts w:ascii="Times New Roman" w:hAnsi="Times New Roman"/>
                <w:sz w:val="21"/>
                <w:szCs w:val="21"/>
                <w:lang w:val="en" w:eastAsia="es-ES_tradnl"/>
              </w:rPr>
              <w:t>; 24.1% FP Dual</w:t>
            </w:r>
            <w:r w:rsidRPr="005C6FBD">
              <w:rPr>
                <w:rFonts w:ascii="Times New Roman" w:hAnsi="Times New Roman"/>
                <w:sz w:val="21"/>
                <w:szCs w:val="21"/>
                <w:lang w:eastAsia="es-ES_tradnl"/>
              </w:rPr>
              <w:t> </w:t>
            </w:r>
          </w:p>
        </w:tc>
      </w:tr>
      <w:tr w:rsidR="00AD7E17" w:rsidRPr="005C6FBD" w14:paraId="69E9FE86" w14:textId="77777777" w:rsidTr="39C17B5D">
        <w:trPr>
          <w:trHeight w:val="300"/>
        </w:trPr>
        <w:tc>
          <w:tcPr>
            <w:tcW w:w="2070" w:type="dxa"/>
            <w:shd w:val="clear" w:color="auto" w:fill="auto"/>
            <w:hideMark/>
          </w:tcPr>
          <w:p w14:paraId="6709B41F" w14:textId="696AA489"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Grado </w:t>
            </w:r>
          </w:p>
        </w:tc>
        <w:tc>
          <w:tcPr>
            <w:tcW w:w="6705" w:type="dxa"/>
            <w:shd w:val="clear" w:color="auto" w:fill="auto"/>
            <w:hideMark/>
          </w:tcPr>
          <w:p w14:paraId="7A4FFEAC" w14:textId="7F379F99"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48.9% FP Grado Medio; 49.8% FP Grado Superior</w:t>
            </w:r>
          </w:p>
        </w:tc>
      </w:tr>
      <w:tr w:rsidR="00AD7E17" w:rsidRPr="005C6FBD" w14:paraId="63EE987F" w14:textId="77777777" w:rsidTr="39C17B5D">
        <w:trPr>
          <w:trHeight w:val="300"/>
        </w:trPr>
        <w:tc>
          <w:tcPr>
            <w:tcW w:w="2070" w:type="dxa"/>
            <w:shd w:val="clear" w:color="auto" w:fill="auto"/>
            <w:hideMark/>
          </w:tcPr>
          <w:p w14:paraId="50D64633" w14:textId="0F3B6E84"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Familia profesional </w:t>
            </w:r>
          </w:p>
        </w:tc>
        <w:tc>
          <w:tcPr>
            <w:tcW w:w="6705" w:type="dxa"/>
            <w:shd w:val="clear" w:color="auto" w:fill="auto"/>
            <w:hideMark/>
          </w:tcPr>
          <w:p w14:paraId="47500578" w14:textId="47938852" w:rsidR="00AD7E17" w:rsidRPr="005C6FBD" w:rsidRDefault="00AD7E17" w:rsidP="005C6FBD">
            <w:pPr>
              <w:spacing w:before="100" w:beforeAutospacing="1" w:after="100" w:afterAutospacing="1" w:line="240" w:lineRule="auto"/>
              <w:textAlignment w:val="baseline"/>
              <w:rPr>
                <w:rFonts w:ascii="Times New Roman" w:hAnsi="Times New Roman"/>
                <w:sz w:val="21"/>
                <w:szCs w:val="21"/>
                <w:lang w:eastAsia="es-ES_tradnl"/>
              </w:rPr>
            </w:pPr>
            <w:r w:rsidRPr="005C6FBD">
              <w:rPr>
                <w:rFonts w:ascii="Times New Roman" w:hAnsi="Times New Roman"/>
                <w:sz w:val="21"/>
                <w:szCs w:val="21"/>
                <w:lang w:eastAsia="es-ES_tradnl"/>
              </w:rPr>
              <w:t>25.4% Ciencias de la computación; 22.1% Salud</w:t>
            </w:r>
          </w:p>
        </w:tc>
      </w:tr>
    </w:tbl>
    <w:p w14:paraId="1A2411BB" w14:textId="01E18A0F" w:rsidR="2689E3B7" w:rsidRPr="005C6FBD" w:rsidRDefault="2689E3B7" w:rsidP="005C6FBD">
      <w:pPr>
        <w:spacing w:after="160" w:line="259" w:lineRule="auto"/>
        <w:rPr>
          <w:rFonts w:ascii="Times New Roman" w:hAnsi="Times New Roman"/>
          <w:sz w:val="24"/>
          <w:szCs w:val="24"/>
        </w:rPr>
      </w:pPr>
      <w:r w:rsidRPr="005C6FBD">
        <w:rPr>
          <w:rFonts w:ascii="Times New Roman" w:hAnsi="Times New Roman"/>
          <w:sz w:val="24"/>
          <w:szCs w:val="24"/>
        </w:rPr>
        <w:t xml:space="preserve">Fuente: elaboración propia. </w:t>
      </w:r>
    </w:p>
    <w:p w14:paraId="6A9B48D5" w14:textId="6716ED52" w:rsidR="00E6124E"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En el caso de la encuesta a docentes, de los 158 docentes de FP, 51,3% eran hombres y 48,1%, mujeres. De ellos, un 55% eran profesores/as de educación secundaria y un 45% profesores/as técnicos.  Algo más de la mitad (58.9%) estaban ocupando cargos de responsabilidad en el centro, entre ellos, coordinadores de FP, jefes/as de estudio, directores/as o tutores/as de curso, y solo un 29,7% ha participado en proyectos de innovación docentes (metodologías activas, emprendimiento, aprendizaje servicio, calidad, movilidad internacional) durante los últimos cinco años. </w:t>
      </w:r>
    </w:p>
    <w:p w14:paraId="4B57402C" w14:textId="4EB8DF9A" w:rsidR="002B7CA3" w:rsidRPr="005C6FBD" w:rsidRDefault="763DA0C5" w:rsidP="005C6FBD">
      <w:pPr>
        <w:spacing w:line="240" w:lineRule="auto"/>
        <w:ind w:firstLine="284"/>
        <w:jc w:val="both"/>
        <w:rPr>
          <w:rFonts w:ascii="Times New Roman" w:hAnsi="Times New Roman"/>
          <w:i/>
          <w:iCs/>
          <w:sz w:val="24"/>
          <w:szCs w:val="24"/>
        </w:rPr>
      </w:pPr>
      <w:r w:rsidRPr="005C6FBD">
        <w:rPr>
          <w:rFonts w:ascii="Times New Roman" w:hAnsi="Times New Roman"/>
          <w:i/>
          <w:iCs/>
          <w:sz w:val="24"/>
          <w:szCs w:val="24"/>
        </w:rPr>
        <w:t>1.4.</w:t>
      </w:r>
      <w:r w:rsidR="00C93CDF" w:rsidRPr="005C6FBD">
        <w:rPr>
          <w:rFonts w:ascii="Times New Roman" w:hAnsi="Times New Roman"/>
          <w:i/>
          <w:iCs/>
          <w:sz w:val="24"/>
          <w:szCs w:val="24"/>
        </w:rPr>
        <w:t>2</w:t>
      </w:r>
      <w:r w:rsidRPr="005C6FBD">
        <w:rPr>
          <w:rFonts w:ascii="Times New Roman" w:hAnsi="Times New Roman"/>
          <w:i/>
          <w:iCs/>
          <w:sz w:val="24"/>
          <w:szCs w:val="24"/>
        </w:rPr>
        <w:t>. Resultados descriptivos docentes</w:t>
      </w:r>
    </w:p>
    <w:p w14:paraId="550CD7B6" w14:textId="755EA165" w:rsidR="00E6124E" w:rsidRPr="005C6FBD" w:rsidRDefault="763DA0C5" w:rsidP="005C6FBD">
      <w:pPr>
        <w:spacing w:line="240" w:lineRule="auto"/>
        <w:ind w:firstLine="284"/>
        <w:jc w:val="both"/>
        <w:rPr>
          <w:rFonts w:ascii="Times New Roman" w:hAnsi="Times New Roman"/>
          <w:sz w:val="24"/>
          <w:szCs w:val="24"/>
        </w:rPr>
      </w:pPr>
      <w:proofErr w:type="gramStart"/>
      <w:r w:rsidRPr="005C6FBD">
        <w:rPr>
          <w:rFonts w:ascii="Times New Roman" w:hAnsi="Times New Roman"/>
          <w:sz w:val="24"/>
          <w:szCs w:val="24"/>
        </w:rPr>
        <w:t>En relación al</w:t>
      </w:r>
      <w:proofErr w:type="gramEnd"/>
      <w:r w:rsidRPr="005C6FBD">
        <w:rPr>
          <w:rFonts w:ascii="Times New Roman" w:hAnsi="Times New Roman"/>
          <w:sz w:val="24"/>
          <w:szCs w:val="24"/>
        </w:rPr>
        <w:t xml:space="preserve"> profesorado, en la tabla </w:t>
      </w:r>
      <w:r w:rsidR="00C93CDF" w:rsidRPr="005C6FBD">
        <w:rPr>
          <w:rFonts w:ascii="Times New Roman" w:hAnsi="Times New Roman"/>
          <w:sz w:val="24"/>
          <w:szCs w:val="24"/>
        </w:rPr>
        <w:t>2</w:t>
      </w:r>
      <w:r w:rsidRPr="005C6FBD">
        <w:rPr>
          <w:rFonts w:ascii="Times New Roman" w:hAnsi="Times New Roman"/>
          <w:sz w:val="24"/>
          <w:szCs w:val="24"/>
        </w:rPr>
        <w:t xml:space="preserve"> se muestra que ha habido un aumento de todas las estrategias docentes, salvo las magistrales que se han mantenido constantes. En este caso, las estrategias docentes relacionadas con el aprendizaje activo y el aprendizaje autónomo han sido las que han experimentado un mayor incremento a partir de la pandemia de la COVID-19.  </w:t>
      </w:r>
    </w:p>
    <w:p w14:paraId="677992A7" w14:textId="4582DB98" w:rsidR="1CEEED8E" w:rsidRPr="005C6FBD" w:rsidRDefault="763DA0C5" w:rsidP="005C6FBD">
      <w:pPr>
        <w:spacing w:line="240" w:lineRule="auto"/>
        <w:jc w:val="center"/>
        <w:rPr>
          <w:rFonts w:ascii="Times New Roman" w:hAnsi="Times New Roman"/>
          <w:sz w:val="20"/>
          <w:szCs w:val="20"/>
        </w:rPr>
      </w:pPr>
      <w:r w:rsidRPr="005C6FBD">
        <w:rPr>
          <w:rFonts w:ascii="Times New Roman" w:hAnsi="Times New Roman"/>
          <w:b/>
          <w:bCs/>
          <w:sz w:val="20"/>
          <w:szCs w:val="20"/>
        </w:rPr>
        <w:t xml:space="preserve">Tabla </w:t>
      </w:r>
      <w:r w:rsidR="00C93CDF" w:rsidRPr="005C6FBD">
        <w:rPr>
          <w:rFonts w:ascii="Times New Roman" w:hAnsi="Times New Roman"/>
          <w:b/>
          <w:bCs/>
          <w:sz w:val="20"/>
          <w:szCs w:val="20"/>
        </w:rPr>
        <w:t>2</w:t>
      </w:r>
      <w:r w:rsidRPr="005C6FBD">
        <w:rPr>
          <w:rFonts w:ascii="Times New Roman" w:hAnsi="Times New Roman"/>
          <w:b/>
          <w:bCs/>
          <w:sz w:val="20"/>
          <w:szCs w:val="20"/>
        </w:rPr>
        <w:t>.</w:t>
      </w:r>
      <w:r w:rsidRPr="005C6FBD">
        <w:rPr>
          <w:rFonts w:ascii="Times New Roman" w:hAnsi="Times New Roman"/>
          <w:sz w:val="20"/>
          <w:szCs w:val="20"/>
        </w:rPr>
        <w:t xml:space="preserve"> Evolución del uso de estrategias docentes por agrupación (recuento medio por estrategia)</w:t>
      </w:r>
    </w:p>
    <w:p w14:paraId="47E53266" w14:textId="211A82DE" w:rsidR="1CEEED8E" w:rsidRPr="005C6FBD" w:rsidRDefault="1CEEED8E" w:rsidP="005C6FBD">
      <w:pPr>
        <w:spacing w:line="240" w:lineRule="auto"/>
        <w:jc w:val="center"/>
        <w:rPr>
          <w:rFonts w:ascii="Times New Roman" w:hAnsi="Times New Roman"/>
        </w:rPr>
      </w:pPr>
      <w:r w:rsidRPr="005C6FBD">
        <w:rPr>
          <w:noProof/>
        </w:rPr>
        <w:drawing>
          <wp:inline distT="0" distB="0" distL="0" distR="0" wp14:anchorId="5DBA143E" wp14:editId="4D79B93A">
            <wp:extent cx="5257800" cy="2752725"/>
            <wp:effectExtent l="0" t="0" r="0" b="0"/>
            <wp:docPr id="2090278546" name="Imagen 209027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57800" cy="2752725"/>
                    </a:xfrm>
                    <a:prstGeom prst="rect">
                      <a:avLst/>
                    </a:prstGeom>
                  </pic:spPr>
                </pic:pic>
              </a:graphicData>
            </a:graphic>
          </wp:inline>
        </w:drawing>
      </w:r>
    </w:p>
    <w:p w14:paraId="6C019528" w14:textId="7B12AC5B" w:rsidR="7A5DE072" w:rsidRPr="005C6FBD" w:rsidRDefault="7A5DE072" w:rsidP="005C6FBD">
      <w:pPr>
        <w:spacing w:after="160" w:line="259" w:lineRule="auto"/>
        <w:rPr>
          <w:rFonts w:ascii="Times New Roman" w:hAnsi="Times New Roman"/>
          <w:sz w:val="24"/>
          <w:szCs w:val="24"/>
        </w:rPr>
      </w:pPr>
      <w:r w:rsidRPr="005C6FBD">
        <w:rPr>
          <w:rFonts w:ascii="Times New Roman" w:hAnsi="Times New Roman"/>
          <w:sz w:val="24"/>
          <w:szCs w:val="24"/>
        </w:rPr>
        <w:t xml:space="preserve">    Fuente: elaboración propia.</w:t>
      </w:r>
    </w:p>
    <w:p w14:paraId="7DDAEFD3" w14:textId="23DA2B53" w:rsidR="7A5DE072"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Si analizamos con más detalle cada una de estas estrategias en la actualidad, podemos observar, tal y como se indica en la tabla </w:t>
      </w:r>
      <w:r w:rsidR="00C93CDF" w:rsidRPr="005C6FBD">
        <w:rPr>
          <w:rFonts w:ascii="Times New Roman" w:hAnsi="Times New Roman"/>
          <w:sz w:val="24"/>
          <w:szCs w:val="24"/>
        </w:rPr>
        <w:t>3</w:t>
      </w:r>
      <w:r w:rsidRPr="005C6FBD">
        <w:rPr>
          <w:rFonts w:ascii="Times New Roman" w:hAnsi="Times New Roman"/>
          <w:sz w:val="24"/>
          <w:szCs w:val="24"/>
        </w:rPr>
        <w:t xml:space="preserve">, que las estrategias docentes más utilizadas son la realización de ejercicios prácticos (81.9%), resolución de dudas (81.3%), trabajo en grupo </w:t>
      </w:r>
      <w:r w:rsidRPr="005C6FBD">
        <w:rPr>
          <w:rFonts w:ascii="Times New Roman" w:hAnsi="Times New Roman"/>
          <w:sz w:val="24"/>
          <w:szCs w:val="24"/>
        </w:rPr>
        <w:lastRenderedPageBreak/>
        <w:t>(79.2%) y trabajo autónomo (76.4%). Las menos empleadas han sido el aprendizaje basado en retos (50%), la visita a empresas (43.8%) y el aula invertida (30%).</w:t>
      </w:r>
    </w:p>
    <w:p w14:paraId="79C46445" w14:textId="52E3BD2F" w:rsidR="7A5DE072" w:rsidRPr="005C6FBD" w:rsidRDefault="7A5DE072" w:rsidP="005C6FBD">
      <w:pPr>
        <w:spacing w:line="240" w:lineRule="auto"/>
        <w:jc w:val="center"/>
        <w:rPr>
          <w:rFonts w:ascii="Times New Roman" w:hAnsi="Times New Roman"/>
          <w:sz w:val="20"/>
          <w:szCs w:val="20"/>
        </w:rPr>
      </w:pPr>
      <w:r w:rsidRPr="005C6FBD">
        <w:rPr>
          <w:rFonts w:ascii="Times New Roman" w:hAnsi="Times New Roman"/>
          <w:b/>
          <w:bCs/>
          <w:sz w:val="20"/>
          <w:szCs w:val="20"/>
        </w:rPr>
        <w:t xml:space="preserve">Tabla </w:t>
      </w:r>
      <w:r w:rsidR="00C93CDF" w:rsidRPr="005C6FBD">
        <w:rPr>
          <w:rFonts w:ascii="Times New Roman" w:hAnsi="Times New Roman"/>
          <w:b/>
          <w:bCs/>
          <w:sz w:val="20"/>
          <w:szCs w:val="20"/>
        </w:rPr>
        <w:t>3</w:t>
      </w:r>
      <w:r w:rsidRPr="005C6FBD">
        <w:rPr>
          <w:rFonts w:ascii="Times New Roman" w:hAnsi="Times New Roman"/>
          <w:b/>
          <w:bCs/>
          <w:sz w:val="20"/>
          <w:szCs w:val="20"/>
        </w:rPr>
        <w:t>.</w:t>
      </w:r>
      <w:r w:rsidRPr="005C6FBD">
        <w:rPr>
          <w:rFonts w:ascii="Times New Roman" w:hAnsi="Times New Roman"/>
          <w:sz w:val="20"/>
          <w:szCs w:val="20"/>
        </w:rPr>
        <w:t xml:space="preserve"> Evolución del uso de estrategias docentes por agrupación (recuento medio por estrategia)</w:t>
      </w:r>
    </w:p>
    <w:tbl>
      <w:tblPr>
        <w:tblStyle w:val="Tablaconcuadrcula"/>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5"/>
        <w:gridCol w:w="4185"/>
        <w:gridCol w:w="1305"/>
        <w:gridCol w:w="1980"/>
      </w:tblGrid>
      <w:tr w:rsidR="1CEEED8E" w:rsidRPr="005C6FBD" w14:paraId="7861E94F" w14:textId="77777777" w:rsidTr="00E6124E">
        <w:trPr>
          <w:trHeight w:val="300"/>
        </w:trPr>
        <w:tc>
          <w:tcPr>
            <w:tcW w:w="1245" w:type="dxa"/>
            <w:tcBorders>
              <w:top w:val="single" w:sz="4" w:space="0" w:color="auto"/>
              <w:bottom w:val="single" w:sz="4" w:space="0" w:color="auto"/>
            </w:tcBorders>
          </w:tcPr>
          <w:p w14:paraId="1FDAB815" w14:textId="3DACFAF2" w:rsidR="1CEEED8E" w:rsidRPr="005C6FBD" w:rsidRDefault="1CEEED8E" w:rsidP="005C6FBD">
            <w:pPr>
              <w:rPr>
                <w:rFonts w:ascii="Times New Roman" w:hAnsi="Times New Roman"/>
                <w:sz w:val="21"/>
                <w:szCs w:val="21"/>
              </w:rPr>
            </w:pPr>
          </w:p>
        </w:tc>
        <w:tc>
          <w:tcPr>
            <w:tcW w:w="4185" w:type="dxa"/>
            <w:tcBorders>
              <w:top w:val="single" w:sz="4" w:space="0" w:color="auto"/>
              <w:bottom w:val="single" w:sz="4" w:space="0" w:color="auto"/>
            </w:tcBorders>
          </w:tcPr>
          <w:p w14:paraId="7A748C28" w14:textId="62D84E2F" w:rsidR="1CEEED8E" w:rsidRPr="005C6FBD" w:rsidRDefault="2689E3B7" w:rsidP="005C6FBD">
            <w:pPr>
              <w:spacing w:after="200" w:line="276" w:lineRule="auto"/>
              <w:rPr>
                <w:rFonts w:ascii="Times New Roman" w:hAnsi="Times New Roman"/>
                <w:sz w:val="21"/>
                <w:szCs w:val="21"/>
              </w:rPr>
            </w:pPr>
            <w:r w:rsidRPr="005C6FBD">
              <w:rPr>
                <w:rFonts w:ascii="Times New Roman" w:hAnsi="Times New Roman"/>
                <w:sz w:val="21"/>
                <w:szCs w:val="21"/>
              </w:rPr>
              <w:t>Estrategia</w:t>
            </w:r>
          </w:p>
        </w:tc>
        <w:tc>
          <w:tcPr>
            <w:tcW w:w="1305" w:type="dxa"/>
            <w:tcBorders>
              <w:top w:val="single" w:sz="4" w:space="0" w:color="auto"/>
              <w:bottom w:val="single" w:sz="4" w:space="0" w:color="auto"/>
            </w:tcBorders>
          </w:tcPr>
          <w:p w14:paraId="37E5D1B4" w14:textId="3EB51176"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Frecuencia </w:t>
            </w:r>
          </w:p>
        </w:tc>
        <w:tc>
          <w:tcPr>
            <w:tcW w:w="1980" w:type="dxa"/>
            <w:tcBorders>
              <w:top w:val="single" w:sz="4" w:space="0" w:color="auto"/>
              <w:bottom w:val="single" w:sz="4" w:space="0" w:color="auto"/>
            </w:tcBorders>
          </w:tcPr>
          <w:p w14:paraId="5927F171" w14:textId="4169BB3E" w:rsidR="1CEEED8E" w:rsidRPr="005C6FBD" w:rsidRDefault="2689E3B7" w:rsidP="005C6FBD">
            <w:pPr>
              <w:rPr>
                <w:rFonts w:ascii="Times New Roman" w:hAnsi="Times New Roman"/>
                <w:sz w:val="21"/>
                <w:szCs w:val="21"/>
              </w:rPr>
            </w:pPr>
            <w:r w:rsidRPr="005C6FBD">
              <w:rPr>
                <w:rFonts w:ascii="Times New Roman" w:hAnsi="Times New Roman"/>
                <w:sz w:val="21"/>
                <w:szCs w:val="21"/>
              </w:rPr>
              <w:t>Porcentaje (%)</w:t>
            </w:r>
          </w:p>
        </w:tc>
      </w:tr>
      <w:tr w:rsidR="1CEEED8E" w:rsidRPr="005C6FBD" w14:paraId="68251CBA" w14:textId="77777777" w:rsidTr="00E6124E">
        <w:trPr>
          <w:trHeight w:val="300"/>
        </w:trPr>
        <w:tc>
          <w:tcPr>
            <w:tcW w:w="1245" w:type="dxa"/>
            <w:vMerge w:val="restart"/>
            <w:tcBorders>
              <w:top w:val="single" w:sz="4" w:space="0" w:color="auto"/>
            </w:tcBorders>
          </w:tcPr>
          <w:p w14:paraId="5D3C7935" w14:textId="3D5B28A7" w:rsidR="1CEEED8E" w:rsidRPr="005C6FBD" w:rsidRDefault="2689E3B7" w:rsidP="005C6FBD">
            <w:pPr>
              <w:rPr>
                <w:rFonts w:ascii="Times New Roman" w:hAnsi="Times New Roman"/>
                <w:sz w:val="21"/>
                <w:szCs w:val="21"/>
              </w:rPr>
            </w:pPr>
            <w:r w:rsidRPr="005C6FBD">
              <w:rPr>
                <w:rFonts w:ascii="Times New Roman" w:hAnsi="Times New Roman"/>
                <w:sz w:val="21"/>
                <w:szCs w:val="21"/>
              </w:rPr>
              <w:t>Lección Magistral</w:t>
            </w:r>
          </w:p>
        </w:tc>
        <w:tc>
          <w:tcPr>
            <w:tcW w:w="4185" w:type="dxa"/>
            <w:tcBorders>
              <w:top w:val="single" w:sz="4" w:space="0" w:color="auto"/>
            </w:tcBorders>
          </w:tcPr>
          <w:p w14:paraId="49E38E82" w14:textId="6E96C806" w:rsidR="1CEEED8E" w:rsidRPr="005C6FBD" w:rsidRDefault="2689E3B7" w:rsidP="005C6FBD">
            <w:pPr>
              <w:rPr>
                <w:rFonts w:ascii="Times New Roman" w:hAnsi="Times New Roman"/>
                <w:sz w:val="21"/>
                <w:szCs w:val="21"/>
              </w:rPr>
            </w:pPr>
            <w:r w:rsidRPr="005C6FBD">
              <w:rPr>
                <w:rFonts w:ascii="Times New Roman" w:hAnsi="Times New Roman"/>
                <w:sz w:val="21"/>
                <w:szCs w:val="21"/>
              </w:rPr>
              <w:t>Sesión expositiva de contenidos</w:t>
            </w:r>
          </w:p>
        </w:tc>
        <w:tc>
          <w:tcPr>
            <w:tcW w:w="1305" w:type="dxa"/>
            <w:tcBorders>
              <w:top w:val="single" w:sz="4" w:space="0" w:color="auto"/>
            </w:tcBorders>
          </w:tcPr>
          <w:p w14:paraId="462864D1" w14:textId="003822D1" w:rsidR="1CEEED8E" w:rsidRPr="005C6FBD" w:rsidRDefault="2689E3B7" w:rsidP="005C6FBD">
            <w:pPr>
              <w:rPr>
                <w:rFonts w:ascii="Times New Roman" w:hAnsi="Times New Roman"/>
                <w:sz w:val="21"/>
                <w:szCs w:val="21"/>
              </w:rPr>
            </w:pPr>
            <w:r w:rsidRPr="005C6FBD">
              <w:rPr>
                <w:rFonts w:ascii="Times New Roman" w:hAnsi="Times New Roman"/>
                <w:sz w:val="21"/>
                <w:szCs w:val="21"/>
              </w:rPr>
              <w:t>106</w:t>
            </w:r>
          </w:p>
        </w:tc>
        <w:tc>
          <w:tcPr>
            <w:tcW w:w="1980" w:type="dxa"/>
            <w:tcBorders>
              <w:top w:val="single" w:sz="4" w:space="0" w:color="auto"/>
            </w:tcBorders>
          </w:tcPr>
          <w:p w14:paraId="398DDF72" w14:textId="75F7E832" w:rsidR="1CEEED8E" w:rsidRPr="005C6FBD" w:rsidRDefault="2689E3B7" w:rsidP="005C6FBD">
            <w:pPr>
              <w:rPr>
                <w:rFonts w:ascii="Times New Roman" w:hAnsi="Times New Roman"/>
                <w:sz w:val="21"/>
                <w:szCs w:val="21"/>
              </w:rPr>
            </w:pPr>
            <w:r w:rsidRPr="005C6FBD">
              <w:rPr>
                <w:rFonts w:ascii="Times New Roman" w:hAnsi="Times New Roman"/>
                <w:sz w:val="21"/>
                <w:szCs w:val="21"/>
              </w:rPr>
              <w:t>73.6</w:t>
            </w:r>
          </w:p>
        </w:tc>
      </w:tr>
      <w:tr w:rsidR="1CEEED8E" w:rsidRPr="005C6FBD" w14:paraId="4A0312B4" w14:textId="77777777" w:rsidTr="00E6124E">
        <w:trPr>
          <w:trHeight w:val="300"/>
        </w:trPr>
        <w:tc>
          <w:tcPr>
            <w:tcW w:w="1245" w:type="dxa"/>
            <w:vMerge/>
            <w:vAlign w:val="center"/>
          </w:tcPr>
          <w:p w14:paraId="67D67B22" w14:textId="77777777" w:rsidR="00E07B1D" w:rsidRPr="005C6FBD" w:rsidRDefault="00E07B1D" w:rsidP="005C6FBD">
            <w:pPr>
              <w:rPr>
                <w:rFonts w:ascii="Times New Roman" w:hAnsi="Times New Roman"/>
                <w:sz w:val="21"/>
                <w:szCs w:val="21"/>
              </w:rPr>
            </w:pPr>
          </w:p>
        </w:tc>
        <w:tc>
          <w:tcPr>
            <w:tcW w:w="4185" w:type="dxa"/>
          </w:tcPr>
          <w:p w14:paraId="651DCC1F" w14:textId="5CA9B4CB" w:rsidR="1CEEED8E" w:rsidRPr="005C6FBD" w:rsidRDefault="2689E3B7" w:rsidP="005C6FBD">
            <w:pPr>
              <w:rPr>
                <w:rFonts w:ascii="Times New Roman" w:hAnsi="Times New Roman"/>
                <w:sz w:val="21"/>
                <w:szCs w:val="21"/>
              </w:rPr>
            </w:pPr>
            <w:r w:rsidRPr="005C6FBD">
              <w:rPr>
                <w:rFonts w:ascii="Times New Roman" w:hAnsi="Times New Roman"/>
                <w:sz w:val="21"/>
                <w:szCs w:val="21"/>
              </w:rPr>
              <w:t>Resolución de dudas</w:t>
            </w:r>
          </w:p>
        </w:tc>
        <w:tc>
          <w:tcPr>
            <w:tcW w:w="1305" w:type="dxa"/>
          </w:tcPr>
          <w:p w14:paraId="36DA71B5" w14:textId="74DF65BC" w:rsidR="1CEEED8E" w:rsidRPr="005C6FBD" w:rsidRDefault="2689E3B7" w:rsidP="005C6FBD">
            <w:pPr>
              <w:rPr>
                <w:rFonts w:ascii="Times New Roman" w:hAnsi="Times New Roman"/>
                <w:sz w:val="21"/>
                <w:szCs w:val="21"/>
              </w:rPr>
            </w:pPr>
            <w:r w:rsidRPr="005C6FBD">
              <w:rPr>
                <w:rFonts w:ascii="Times New Roman" w:hAnsi="Times New Roman"/>
                <w:sz w:val="21"/>
                <w:szCs w:val="21"/>
              </w:rPr>
              <w:t>117</w:t>
            </w:r>
          </w:p>
        </w:tc>
        <w:tc>
          <w:tcPr>
            <w:tcW w:w="1980" w:type="dxa"/>
          </w:tcPr>
          <w:p w14:paraId="31FD3BC2" w14:textId="4A216EB1" w:rsidR="1CEEED8E" w:rsidRPr="005C6FBD" w:rsidRDefault="7A5DE072" w:rsidP="005C6FBD">
            <w:pPr>
              <w:rPr>
                <w:rFonts w:ascii="Times New Roman" w:hAnsi="Times New Roman"/>
                <w:sz w:val="21"/>
                <w:szCs w:val="21"/>
              </w:rPr>
            </w:pPr>
            <w:r w:rsidRPr="005C6FBD">
              <w:rPr>
                <w:rFonts w:ascii="Times New Roman" w:hAnsi="Times New Roman"/>
                <w:sz w:val="21"/>
                <w:szCs w:val="21"/>
              </w:rPr>
              <w:t>81.3</w:t>
            </w:r>
          </w:p>
        </w:tc>
      </w:tr>
      <w:tr w:rsidR="1CEEED8E" w:rsidRPr="005C6FBD" w14:paraId="76B110A9" w14:textId="77777777" w:rsidTr="00E6124E">
        <w:trPr>
          <w:trHeight w:val="300"/>
        </w:trPr>
        <w:tc>
          <w:tcPr>
            <w:tcW w:w="1245" w:type="dxa"/>
            <w:vMerge w:val="restart"/>
          </w:tcPr>
          <w:p w14:paraId="240A5A36" w14:textId="5609CFCE" w:rsidR="1CEEED8E" w:rsidRPr="005C6FBD" w:rsidRDefault="2689E3B7" w:rsidP="005C6FBD">
            <w:pPr>
              <w:rPr>
                <w:rFonts w:ascii="Times New Roman" w:hAnsi="Times New Roman"/>
                <w:sz w:val="21"/>
                <w:szCs w:val="21"/>
              </w:rPr>
            </w:pPr>
            <w:r w:rsidRPr="005C6FBD">
              <w:rPr>
                <w:rFonts w:ascii="Times New Roman" w:hAnsi="Times New Roman"/>
                <w:sz w:val="21"/>
                <w:szCs w:val="21"/>
              </w:rPr>
              <w:t>Aprendizaje situado</w:t>
            </w:r>
          </w:p>
        </w:tc>
        <w:tc>
          <w:tcPr>
            <w:tcW w:w="4185" w:type="dxa"/>
          </w:tcPr>
          <w:p w14:paraId="605717D9" w14:textId="2A20C050"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Análisis y discusión de experiencias y situaciones de la vida real </w:t>
            </w:r>
          </w:p>
        </w:tc>
        <w:tc>
          <w:tcPr>
            <w:tcW w:w="1305" w:type="dxa"/>
          </w:tcPr>
          <w:p w14:paraId="3A66B9E1" w14:textId="320918F7" w:rsidR="1CEEED8E" w:rsidRPr="005C6FBD" w:rsidRDefault="2689E3B7" w:rsidP="005C6FBD">
            <w:pPr>
              <w:rPr>
                <w:rFonts w:ascii="Times New Roman" w:hAnsi="Times New Roman"/>
                <w:sz w:val="21"/>
                <w:szCs w:val="21"/>
              </w:rPr>
            </w:pPr>
            <w:r w:rsidRPr="005C6FBD">
              <w:rPr>
                <w:rFonts w:ascii="Times New Roman" w:hAnsi="Times New Roman"/>
                <w:sz w:val="21"/>
                <w:szCs w:val="21"/>
              </w:rPr>
              <w:t>89</w:t>
            </w:r>
          </w:p>
        </w:tc>
        <w:tc>
          <w:tcPr>
            <w:tcW w:w="1980" w:type="dxa"/>
          </w:tcPr>
          <w:p w14:paraId="3A50BD96" w14:textId="17A7840D" w:rsidR="1CEEED8E" w:rsidRPr="005C6FBD" w:rsidRDefault="2689E3B7" w:rsidP="005C6FBD">
            <w:pPr>
              <w:rPr>
                <w:rFonts w:ascii="Times New Roman" w:hAnsi="Times New Roman"/>
                <w:sz w:val="21"/>
                <w:szCs w:val="21"/>
              </w:rPr>
            </w:pPr>
            <w:r w:rsidRPr="005C6FBD">
              <w:rPr>
                <w:rFonts w:ascii="Times New Roman" w:hAnsi="Times New Roman"/>
                <w:sz w:val="21"/>
                <w:szCs w:val="21"/>
              </w:rPr>
              <w:t>61.8</w:t>
            </w:r>
          </w:p>
        </w:tc>
      </w:tr>
      <w:tr w:rsidR="1CEEED8E" w:rsidRPr="005C6FBD" w14:paraId="556028D3" w14:textId="77777777" w:rsidTr="00E6124E">
        <w:trPr>
          <w:trHeight w:val="300"/>
        </w:trPr>
        <w:tc>
          <w:tcPr>
            <w:tcW w:w="1245" w:type="dxa"/>
            <w:vMerge/>
            <w:vAlign w:val="center"/>
          </w:tcPr>
          <w:p w14:paraId="69BE6F0A" w14:textId="77777777" w:rsidR="00E07B1D" w:rsidRPr="005C6FBD" w:rsidRDefault="00E07B1D" w:rsidP="005C6FBD">
            <w:pPr>
              <w:rPr>
                <w:rFonts w:ascii="Times New Roman" w:hAnsi="Times New Roman"/>
                <w:sz w:val="21"/>
                <w:szCs w:val="21"/>
              </w:rPr>
            </w:pPr>
          </w:p>
        </w:tc>
        <w:tc>
          <w:tcPr>
            <w:tcW w:w="4185" w:type="dxa"/>
          </w:tcPr>
          <w:p w14:paraId="75A65A12" w14:textId="0D09C5D7" w:rsidR="1CEEED8E" w:rsidRPr="005C6FBD" w:rsidRDefault="2689E3B7" w:rsidP="005C6FBD">
            <w:pPr>
              <w:rPr>
                <w:rFonts w:ascii="Times New Roman" w:hAnsi="Times New Roman"/>
                <w:sz w:val="21"/>
                <w:szCs w:val="21"/>
              </w:rPr>
            </w:pPr>
            <w:r w:rsidRPr="005C6FBD">
              <w:rPr>
                <w:rFonts w:ascii="Times New Roman" w:hAnsi="Times New Roman"/>
                <w:sz w:val="21"/>
                <w:szCs w:val="21"/>
              </w:rPr>
              <w:t>Simulaciones de la actividad profesional en el aula</w:t>
            </w:r>
          </w:p>
        </w:tc>
        <w:tc>
          <w:tcPr>
            <w:tcW w:w="1305" w:type="dxa"/>
          </w:tcPr>
          <w:p w14:paraId="2BB10108" w14:textId="75EC8A01" w:rsidR="1CEEED8E" w:rsidRPr="005C6FBD" w:rsidRDefault="2689E3B7" w:rsidP="005C6FBD">
            <w:pPr>
              <w:rPr>
                <w:rFonts w:ascii="Times New Roman" w:hAnsi="Times New Roman"/>
                <w:sz w:val="21"/>
                <w:szCs w:val="21"/>
              </w:rPr>
            </w:pPr>
            <w:r w:rsidRPr="005C6FBD">
              <w:rPr>
                <w:rFonts w:ascii="Times New Roman" w:hAnsi="Times New Roman"/>
                <w:sz w:val="21"/>
                <w:szCs w:val="21"/>
              </w:rPr>
              <w:t>77</w:t>
            </w:r>
          </w:p>
        </w:tc>
        <w:tc>
          <w:tcPr>
            <w:tcW w:w="1980" w:type="dxa"/>
          </w:tcPr>
          <w:p w14:paraId="004773AC" w14:textId="2210FEFC" w:rsidR="1CEEED8E" w:rsidRPr="005C6FBD" w:rsidRDefault="7A5DE072" w:rsidP="005C6FBD">
            <w:pPr>
              <w:rPr>
                <w:rFonts w:ascii="Times New Roman" w:hAnsi="Times New Roman"/>
                <w:sz w:val="21"/>
                <w:szCs w:val="21"/>
              </w:rPr>
            </w:pPr>
            <w:r w:rsidRPr="005C6FBD">
              <w:rPr>
                <w:rFonts w:ascii="Times New Roman" w:hAnsi="Times New Roman"/>
                <w:sz w:val="21"/>
                <w:szCs w:val="21"/>
              </w:rPr>
              <w:t>53.5</w:t>
            </w:r>
          </w:p>
        </w:tc>
      </w:tr>
      <w:tr w:rsidR="1CEEED8E" w:rsidRPr="005C6FBD" w14:paraId="1225F664" w14:textId="77777777" w:rsidTr="00E6124E">
        <w:trPr>
          <w:trHeight w:val="300"/>
        </w:trPr>
        <w:tc>
          <w:tcPr>
            <w:tcW w:w="1245" w:type="dxa"/>
            <w:vMerge/>
            <w:vAlign w:val="center"/>
          </w:tcPr>
          <w:p w14:paraId="4783374D" w14:textId="77777777" w:rsidR="00E07B1D" w:rsidRPr="005C6FBD" w:rsidRDefault="00E07B1D" w:rsidP="005C6FBD">
            <w:pPr>
              <w:rPr>
                <w:rFonts w:ascii="Times New Roman" w:hAnsi="Times New Roman"/>
                <w:sz w:val="21"/>
                <w:szCs w:val="21"/>
              </w:rPr>
            </w:pPr>
          </w:p>
        </w:tc>
        <w:tc>
          <w:tcPr>
            <w:tcW w:w="4185" w:type="dxa"/>
          </w:tcPr>
          <w:p w14:paraId="2780A765" w14:textId="0D6B1A82"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Visita de profesionales externos </w:t>
            </w:r>
          </w:p>
        </w:tc>
        <w:tc>
          <w:tcPr>
            <w:tcW w:w="1305" w:type="dxa"/>
          </w:tcPr>
          <w:p w14:paraId="251D75FE" w14:textId="18D90475" w:rsidR="1CEEED8E" w:rsidRPr="005C6FBD" w:rsidRDefault="2689E3B7" w:rsidP="005C6FBD">
            <w:pPr>
              <w:rPr>
                <w:rFonts w:ascii="Times New Roman" w:hAnsi="Times New Roman"/>
                <w:sz w:val="21"/>
                <w:szCs w:val="21"/>
              </w:rPr>
            </w:pPr>
            <w:r w:rsidRPr="005C6FBD">
              <w:rPr>
                <w:rFonts w:ascii="Times New Roman" w:hAnsi="Times New Roman"/>
                <w:sz w:val="21"/>
                <w:szCs w:val="21"/>
              </w:rPr>
              <w:t>75</w:t>
            </w:r>
          </w:p>
        </w:tc>
        <w:tc>
          <w:tcPr>
            <w:tcW w:w="1980" w:type="dxa"/>
          </w:tcPr>
          <w:p w14:paraId="30E48B19" w14:textId="66720F3C" w:rsidR="1CEEED8E" w:rsidRPr="005C6FBD" w:rsidRDefault="7A5DE072" w:rsidP="005C6FBD">
            <w:pPr>
              <w:rPr>
                <w:rFonts w:ascii="Times New Roman" w:hAnsi="Times New Roman"/>
                <w:sz w:val="21"/>
                <w:szCs w:val="21"/>
              </w:rPr>
            </w:pPr>
            <w:r w:rsidRPr="005C6FBD">
              <w:rPr>
                <w:rFonts w:ascii="Times New Roman" w:hAnsi="Times New Roman"/>
                <w:sz w:val="21"/>
                <w:szCs w:val="21"/>
              </w:rPr>
              <w:t>52.1</w:t>
            </w:r>
          </w:p>
        </w:tc>
      </w:tr>
      <w:tr w:rsidR="1CEEED8E" w:rsidRPr="005C6FBD" w14:paraId="5A260D3B" w14:textId="77777777" w:rsidTr="00E6124E">
        <w:trPr>
          <w:trHeight w:val="300"/>
        </w:trPr>
        <w:tc>
          <w:tcPr>
            <w:tcW w:w="1245" w:type="dxa"/>
            <w:vMerge/>
            <w:vAlign w:val="center"/>
          </w:tcPr>
          <w:p w14:paraId="0A6897CB" w14:textId="77777777" w:rsidR="00E07B1D" w:rsidRPr="005C6FBD" w:rsidRDefault="00E07B1D" w:rsidP="005C6FBD">
            <w:pPr>
              <w:rPr>
                <w:rFonts w:ascii="Times New Roman" w:hAnsi="Times New Roman"/>
                <w:sz w:val="21"/>
                <w:szCs w:val="21"/>
              </w:rPr>
            </w:pPr>
          </w:p>
        </w:tc>
        <w:tc>
          <w:tcPr>
            <w:tcW w:w="4185" w:type="dxa"/>
          </w:tcPr>
          <w:p w14:paraId="6E314950" w14:textId="1D482771"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Visita a empresas </w:t>
            </w:r>
          </w:p>
        </w:tc>
        <w:tc>
          <w:tcPr>
            <w:tcW w:w="1305" w:type="dxa"/>
          </w:tcPr>
          <w:p w14:paraId="60314E5C" w14:textId="20D1AF8C" w:rsidR="1CEEED8E" w:rsidRPr="005C6FBD" w:rsidRDefault="2689E3B7" w:rsidP="005C6FBD">
            <w:pPr>
              <w:rPr>
                <w:rFonts w:ascii="Times New Roman" w:hAnsi="Times New Roman"/>
                <w:sz w:val="21"/>
                <w:szCs w:val="21"/>
              </w:rPr>
            </w:pPr>
            <w:r w:rsidRPr="005C6FBD">
              <w:rPr>
                <w:rFonts w:ascii="Times New Roman" w:hAnsi="Times New Roman"/>
                <w:sz w:val="21"/>
                <w:szCs w:val="21"/>
              </w:rPr>
              <w:t>63</w:t>
            </w:r>
          </w:p>
        </w:tc>
        <w:tc>
          <w:tcPr>
            <w:tcW w:w="1980" w:type="dxa"/>
          </w:tcPr>
          <w:p w14:paraId="3D78F3A1" w14:textId="291C834D" w:rsidR="1CEEED8E" w:rsidRPr="005C6FBD" w:rsidRDefault="7A5DE072" w:rsidP="005C6FBD">
            <w:pPr>
              <w:rPr>
                <w:rFonts w:ascii="Times New Roman" w:hAnsi="Times New Roman"/>
                <w:sz w:val="21"/>
                <w:szCs w:val="21"/>
              </w:rPr>
            </w:pPr>
            <w:r w:rsidRPr="005C6FBD">
              <w:rPr>
                <w:rFonts w:ascii="Times New Roman" w:hAnsi="Times New Roman"/>
                <w:sz w:val="21"/>
                <w:szCs w:val="21"/>
              </w:rPr>
              <w:t>43.8</w:t>
            </w:r>
          </w:p>
        </w:tc>
      </w:tr>
      <w:tr w:rsidR="1CEEED8E" w:rsidRPr="005C6FBD" w14:paraId="11AD82B4" w14:textId="77777777" w:rsidTr="00E6124E">
        <w:trPr>
          <w:trHeight w:val="300"/>
        </w:trPr>
        <w:tc>
          <w:tcPr>
            <w:tcW w:w="1245" w:type="dxa"/>
            <w:vMerge w:val="restart"/>
          </w:tcPr>
          <w:p w14:paraId="38438713" w14:textId="61CCC16A" w:rsidR="1CEEED8E" w:rsidRPr="005C6FBD" w:rsidRDefault="2689E3B7" w:rsidP="005C6FBD">
            <w:pPr>
              <w:rPr>
                <w:rFonts w:ascii="Times New Roman" w:hAnsi="Times New Roman"/>
                <w:sz w:val="21"/>
                <w:szCs w:val="21"/>
              </w:rPr>
            </w:pPr>
            <w:r w:rsidRPr="005C6FBD">
              <w:rPr>
                <w:rFonts w:ascii="Times New Roman" w:hAnsi="Times New Roman"/>
                <w:sz w:val="21"/>
                <w:szCs w:val="21"/>
              </w:rPr>
              <w:t>Aprendizaje Autónomo</w:t>
            </w:r>
          </w:p>
        </w:tc>
        <w:tc>
          <w:tcPr>
            <w:tcW w:w="4185" w:type="dxa"/>
          </w:tcPr>
          <w:p w14:paraId="4DB92207" w14:textId="3EE43888"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Trabajo autónomo </w:t>
            </w:r>
          </w:p>
        </w:tc>
        <w:tc>
          <w:tcPr>
            <w:tcW w:w="1305" w:type="dxa"/>
          </w:tcPr>
          <w:p w14:paraId="7A073B89" w14:textId="5F6086EA" w:rsidR="1CEEED8E" w:rsidRPr="005C6FBD" w:rsidRDefault="2689E3B7" w:rsidP="005C6FBD">
            <w:pPr>
              <w:rPr>
                <w:rFonts w:ascii="Times New Roman" w:hAnsi="Times New Roman"/>
                <w:sz w:val="21"/>
                <w:szCs w:val="21"/>
              </w:rPr>
            </w:pPr>
            <w:r w:rsidRPr="005C6FBD">
              <w:rPr>
                <w:rFonts w:ascii="Times New Roman" w:hAnsi="Times New Roman"/>
                <w:sz w:val="21"/>
                <w:szCs w:val="21"/>
              </w:rPr>
              <w:t>110</w:t>
            </w:r>
          </w:p>
        </w:tc>
        <w:tc>
          <w:tcPr>
            <w:tcW w:w="1980" w:type="dxa"/>
          </w:tcPr>
          <w:p w14:paraId="34EC6D8B" w14:textId="0019376A" w:rsidR="1CEEED8E" w:rsidRPr="005C6FBD" w:rsidRDefault="7A5DE072" w:rsidP="005C6FBD">
            <w:pPr>
              <w:rPr>
                <w:rFonts w:ascii="Times New Roman" w:hAnsi="Times New Roman"/>
                <w:sz w:val="21"/>
                <w:szCs w:val="21"/>
              </w:rPr>
            </w:pPr>
            <w:r w:rsidRPr="005C6FBD">
              <w:rPr>
                <w:rFonts w:ascii="Times New Roman" w:hAnsi="Times New Roman"/>
                <w:sz w:val="21"/>
                <w:szCs w:val="21"/>
              </w:rPr>
              <w:t>76.4</w:t>
            </w:r>
          </w:p>
        </w:tc>
      </w:tr>
      <w:tr w:rsidR="1CEEED8E" w:rsidRPr="005C6FBD" w14:paraId="28FB85C7" w14:textId="77777777" w:rsidTr="00E6124E">
        <w:trPr>
          <w:trHeight w:val="300"/>
        </w:trPr>
        <w:tc>
          <w:tcPr>
            <w:tcW w:w="1245" w:type="dxa"/>
            <w:vMerge/>
            <w:vAlign w:val="center"/>
          </w:tcPr>
          <w:p w14:paraId="0A131B9A" w14:textId="77777777" w:rsidR="00E07B1D" w:rsidRPr="005C6FBD" w:rsidRDefault="00E07B1D" w:rsidP="005C6FBD">
            <w:pPr>
              <w:rPr>
                <w:rFonts w:ascii="Times New Roman" w:hAnsi="Times New Roman"/>
                <w:sz w:val="21"/>
                <w:szCs w:val="21"/>
              </w:rPr>
            </w:pPr>
          </w:p>
        </w:tc>
        <w:tc>
          <w:tcPr>
            <w:tcW w:w="4185" w:type="dxa"/>
          </w:tcPr>
          <w:p w14:paraId="0DF24D0A" w14:textId="555BD265" w:rsidR="1CEEED8E" w:rsidRPr="005C6FBD" w:rsidRDefault="2689E3B7" w:rsidP="005C6FBD">
            <w:pPr>
              <w:rPr>
                <w:rFonts w:ascii="Times New Roman" w:hAnsi="Times New Roman"/>
                <w:sz w:val="21"/>
                <w:szCs w:val="21"/>
              </w:rPr>
            </w:pPr>
            <w:r w:rsidRPr="005C6FBD">
              <w:rPr>
                <w:rFonts w:ascii="Times New Roman" w:hAnsi="Times New Roman"/>
                <w:sz w:val="21"/>
                <w:szCs w:val="21"/>
              </w:rPr>
              <w:t>Seguimiento individualizado o grupal</w:t>
            </w:r>
          </w:p>
        </w:tc>
        <w:tc>
          <w:tcPr>
            <w:tcW w:w="1305" w:type="dxa"/>
          </w:tcPr>
          <w:p w14:paraId="57641506" w14:textId="0D1F99C6" w:rsidR="1CEEED8E" w:rsidRPr="005C6FBD" w:rsidRDefault="2689E3B7" w:rsidP="005C6FBD">
            <w:pPr>
              <w:jc w:val="both"/>
              <w:rPr>
                <w:rFonts w:ascii="Times New Roman" w:hAnsi="Times New Roman"/>
                <w:sz w:val="21"/>
                <w:szCs w:val="21"/>
              </w:rPr>
            </w:pPr>
            <w:r w:rsidRPr="005C6FBD">
              <w:rPr>
                <w:rFonts w:ascii="Times New Roman" w:hAnsi="Times New Roman"/>
                <w:sz w:val="21"/>
                <w:szCs w:val="21"/>
              </w:rPr>
              <w:t>107</w:t>
            </w:r>
          </w:p>
        </w:tc>
        <w:tc>
          <w:tcPr>
            <w:tcW w:w="1980" w:type="dxa"/>
          </w:tcPr>
          <w:p w14:paraId="6423AF97" w14:textId="301CEC6C" w:rsidR="1CEEED8E" w:rsidRPr="005C6FBD" w:rsidRDefault="2689E3B7" w:rsidP="005C6FBD">
            <w:pPr>
              <w:rPr>
                <w:rFonts w:ascii="Times New Roman" w:hAnsi="Times New Roman"/>
                <w:sz w:val="21"/>
                <w:szCs w:val="21"/>
              </w:rPr>
            </w:pPr>
            <w:r w:rsidRPr="005C6FBD">
              <w:rPr>
                <w:rFonts w:ascii="Times New Roman" w:hAnsi="Times New Roman"/>
                <w:sz w:val="21"/>
                <w:szCs w:val="21"/>
              </w:rPr>
              <w:t>74.3</w:t>
            </w:r>
          </w:p>
        </w:tc>
      </w:tr>
      <w:tr w:rsidR="1CEEED8E" w:rsidRPr="005C6FBD" w14:paraId="276ACC3D" w14:textId="77777777" w:rsidTr="00E6124E">
        <w:trPr>
          <w:trHeight w:val="300"/>
        </w:trPr>
        <w:tc>
          <w:tcPr>
            <w:tcW w:w="1245" w:type="dxa"/>
            <w:vMerge w:val="restart"/>
          </w:tcPr>
          <w:p w14:paraId="35FE2AAD" w14:textId="3955609D" w:rsidR="1CEEED8E" w:rsidRPr="005C6FBD" w:rsidRDefault="2689E3B7" w:rsidP="005C6FBD">
            <w:pPr>
              <w:rPr>
                <w:rFonts w:ascii="Times New Roman" w:hAnsi="Times New Roman"/>
                <w:sz w:val="21"/>
                <w:szCs w:val="21"/>
              </w:rPr>
            </w:pPr>
            <w:r w:rsidRPr="005C6FBD">
              <w:rPr>
                <w:rFonts w:ascii="Times New Roman" w:hAnsi="Times New Roman"/>
                <w:sz w:val="21"/>
                <w:szCs w:val="21"/>
              </w:rPr>
              <w:t>Aprendizaje Activo</w:t>
            </w:r>
          </w:p>
        </w:tc>
        <w:tc>
          <w:tcPr>
            <w:tcW w:w="4185" w:type="dxa"/>
          </w:tcPr>
          <w:p w14:paraId="7F64D793" w14:textId="0F68860D"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Debate y discusión </w:t>
            </w:r>
          </w:p>
        </w:tc>
        <w:tc>
          <w:tcPr>
            <w:tcW w:w="1305" w:type="dxa"/>
          </w:tcPr>
          <w:p w14:paraId="1C9E17D0" w14:textId="17DE1065" w:rsidR="1CEEED8E" w:rsidRPr="005C6FBD" w:rsidRDefault="2689E3B7" w:rsidP="005C6FBD">
            <w:pPr>
              <w:rPr>
                <w:rFonts w:ascii="Times New Roman" w:hAnsi="Times New Roman"/>
                <w:sz w:val="21"/>
                <w:szCs w:val="21"/>
              </w:rPr>
            </w:pPr>
            <w:r w:rsidRPr="005C6FBD">
              <w:rPr>
                <w:rFonts w:ascii="Times New Roman" w:hAnsi="Times New Roman"/>
                <w:sz w:val="21"/>
                <w:szCs w:val="21"/>
              </w:rPr>
              <w:t>91</w:t>
            </w:r>
          </w:p>
        </w:tc>
        <w:tc>
          <w:tcPr>
            <w:tcW w:w="1980" w:type="dxa"/>
          </w:tcPr>
          <w:p w14:paraId="41E8ED0E" w14:textId="2C5E5A24" w:rsidR="1CEEED8E" w:rsidRPr="005C6FBD" w:rsidRDefault="2689E3B7" w:rsidP="005C6FBD">
            <w:pPr>
              <w:rPr>
                <w:rFonts w:ascii="Times New Roman" w:hAnsi="Times New Roman"/>
                <w:sz w:val="21"/>
                <w:szCs w:val="21"/>
              </w:rPr>
            </w:pPr>
            <w:r w:rsidRPr="005C6FBD">
              <w:rPr>
                <w:rFonts w:ascii="Times New Roman" w:hAnsi="Times New Roman"/>
                <w:sz w:val="21"/>
                <w:szCs w:val="21"/>
              </w:rPr>
              <w:t>63.2</w:t>
            </w:r>
          </w:p>
        </w:tc>
      </w:tr>
      <w:tr w:rsidR="1CEEED8E" w:rsidRPr="005C6FBD" w14:paraId="1E36A124" w14:textId="77777777" w:rsidTr="00E6124E">
        <w:trPr>
          <w:trHeight w:val="300"/>
        </w:trPr>
        <w:tc>
          <w:tcPr>
            <w:tcW w:w="1245" w:type="dxa"/>
            <w:vMerge/>
            <w:vAlign w:val="center"/>
          </w:tcPr>
          <w:p w14:paraId="2926AE8B" w14:textId="77777777" w:rsidR="00E07B1D" w:rsidRPr="005C6FBD" w:rsidRDefault="00E07B1D" w:rsidP="005C6FBD">
            <w:pPr>
              <w:rPr>
                <w:rFonts w:ascii="Times New Roman" w:hAnsi="Times New Roman"/>
                <w:sz w:val="21"/>
                <w:szCs w:val="21"/>
              </w:rPr>
            </w:pPr>
          </w:p>
        </w:tc>
        <w:tc>
          <w:tcPr>
            <w:tcW w:w="4185" w:type="dxa"/>
          </w:tcPr>
          <w:p w14:paraId="67FDE965" w14:textId="5AFDBA34"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Ejercicios prácticos </w:t>
            </w:r>
          </w:p>
        </w:tc>
        <w:tc>
          <w:tcPr>
            <w:tcW w:w="1305" w:type="dxa"/>
          </w:tcPr>
          <w:p w14:paraId="2FD9D70B" w14:textId="7D31AC5F" w:rsidR="1CEEED8E" w:rsidRPr="005C6FBD" w:rsidRDefault="2689E3B7" w:rsidP="005C6FBD">
            <w:pPr>
              <w:rPr>
                <w:rFonts w:ascii="Times New Roman" w:hAnsi="Times New Roman"/>
                <w:sz w:val="21"/>
                <w:szCs w:val="21"/>
              </w:rPr>
            </w:pPr>
            <w:r w:rsidRPr="005C6FBD">
              <w:rPr>
                <w:rFonts w:ascii="Times New Roman" w:hAnsi="Times New Roman"/>
                <w:sz w:val="21"/>
                <w:szCs w:val="21"/>
              </w:rPr>
              <w:t>118</w:t>
            </w:r>
          </w:p>
        </w:tc>
        <w:tc>
          <w:tcPr>
            <w:tcW w:w="1980" w:type="dxa"/>
          </w:tcPr>
          <w:p w14:paraId="7E21AD31" w14:textId="2247F730" w:rsidR="1CEEED8E" w:rsidRPr="005C6FBD" w:rsidRDefault="7A5DE072" w:rsidP="005C6FBD">
            <w:pPr>
              <w:rPr>
                <w:rFonts w:ascii="Times New Roman" w:hAnsi="Times New Roman"/>
                <w:sz w:val="21"/>
                <w:szCs w:val="21"/>
              </w:rPr>
            </w:pPr>
            <w:r w:rsidRPr="005C6FBD">
              <w:rPr>
                <w:rFonts w:ascii="Times New Roman" w:hAnsi="Times New Roman"/>
                <w:sz w:val="21"/>
                <w:szCs w:val="21"/>
              </w:rPr>
              <w:t>81.9</w:t>
            </w:r>
          </w:p>
        </w:tc>
      </w:tr>
      <w:tr w:rsidR="1CEEED8E" w:rsidRPr="005C6FBD" w14:paraId="5867B0C2" w14:textId="77777777" w:rsidTr="00E6124E">
        <w:trPr>
          <w:trHeight w:val="300"/>
        </w:trPr>
        <w:tc>
          <w:tcPr>
            <w:tcW w:w="1245" w:type="dxa"/>
            <w:vMerge/>
            <w:vAlign w:val="center"/>
          </w:tcPr>
          <w:p w14:paraId="163BB072" w14:textId="77777777" w:rsidR="00E07B1D" w:rsidRPr="005C6FBD" w:rsidRDefault="00E07B1D" w:rsidP="005C6FBD">
            <w:pPr>
              <w:rPr>
                <w:rFonts w:ascii="Times New Roman" w:hAnsi="Times New Roman"/>
                <w:sz w:val="21"/>
                <w:szCs w:val="21"/>
              </w:rPr>
            </w:pPr>
          </w:p>
        </w:tc>
        <w:tc>
          <w:tcPr>
            <w:tcW w:w="4185" w:type="dxa"/>
          </w:tcPr>
          <w:p w14:paraId="48061C18" w14:textId="7206A45A" w:rsidR="1CEEED8E" w:rsidRPr="005C6FBD" w:rsidRDefault="2689E3B7" w:rsidP="005C6FBD">
            <w:pPr>
              <w:rPr>
                <w:rFonts w:ascii="Times New Roman" w:hAnsi="Times New Roman"/>
                <w:sz w:val="21"/>
                <w:szCs w:val="21"/>
              </w:rPr>
            </w:pPr>
            <w:r w:rsidRPr="005C6FBD">
              <w:rPr>
                <w:rFonts w:ascii="Times New Roman" w:hAnsi="Times New Roman"/>
                <w:sz w:val="21"/>
                <w:szCs w:val="21"/>
              </w:rPr>
              <w:t xml:space="preserve">Aula invertida </w:t>
            </w:r>
          </w:p>
        </w:tc>
        <w:tc>
          <w:tcPr>
            <w:tcW w:w="1305" w:type="dxa"/>
          </w:tcPr>
          <w:p w14:paraId="52A9F1E9" w14:textId="504E63E3" w:rsidR="1CEEED8E" w:rsidRPr="005C6FBD" w:rsidRDefault="2689E3B7" w:rsidP="005C6FBD">
            <w:pPr>
              <w:rPr>
                <w:rFonts w:ascii="Times New Roman" w:hAnsi="Times New Roman"/>
                <w:sz w:val="21"/>
                <w:szCs w:val="21"/>
              </w:rPr>
            </w:pPr>
            <w:r w:rsidRPr="005C6FBD">
              <w:rPr>
                <w:rFonts w:ascii="Times New Roman" w:hAnsi="Times New Roman"/>
                <w:sz w:val="21"/>
                <w:szCs w:val="21"/>
              </w:rPr>
              <w:t>44</w:t>
            </w:r>
          </w:p>
        </w:tc>
        <w:tc>
          <w:tcPr>
            <w:tcW w:w="1980" w:type="dxa"/>
          </w:tcPr>
          <w:p w14:paraId="5FA7E9AE" w14:textId="29DC4693" w:rsidR="1CEEED8E" w:rsidRPr="005C6FBD" w:rsidRDefault="7A5DE072" w:rsidP="005C6FBD">
            <w:pPr>
              <w:rPr>
                <w:rFonts w:ascii="Times New Roman" w:hAnsi="Times New Roman"/>
                <w:sz w:val="21"/>
                <w:szCs w:val="21"/>
              </w:rPr>
            </w:pPr>
            <w:r w:rsidRPr="005C6FBD">
              <w:rPr>
                <w:rFonts w:ascii="Times New Roman" w:hAnsi="Times New Roman"/>
                <w:sz w:val="21"/>
                <w:szCs w:val="21"/>
              </w:rPr>
              <w:t>30.6</w:t>
            </w:r>
          </w:p>
        </w:tc>
      </w:tr>
      <w:tr w:rsidR="1CEEED8E" w:rsidRPr="005C6FBD" w14:paraId="649E5D45" w14:textId="77777777" w:rsidTr="00E6124E">
        <w:trPr>
          <w:trHeight w:val="300"/>
        </w:trPr>
        <w:tc>
          <w:tcPr>
            <w:tcW w:w="1245" w:type="dxa"/>
            <w:vMerge/>
            <w:vAlign w:val="center"/>
          </w:tcPr>
          <w:p w14:paraId="1F6BF63D" w14:textId="77777777" w:rsidR="00E07B1D" w:rsidRPr="005C6FBD" w:rsidRDefault="00E07B1D" w:rsidP="005C6FBD">
            <w:pPr>
              <w:rPr>
                <w:rFonts w:ascii="Times New Roman" w:hAnsi="Times New Roman"/>
                <w:sz w:val="21"/>
                <w:szCs w:val="21"/>
              </w:rPr>
            </w:pPr>
          </w:p>
        </w:tc>
        <w:tc>
          <w:tcPr>
            <w:tcW w:w="4185" w:type="dxa"/>
          </w:tcPr>
          <w:p w14:paraId="343D7E3A" w14:textId="1E790BD6" w:rsidR="1CEEED8E" w:rsidRPr="005C6FBD" w:rsidRDefault="2689E3B7" w:rsidP="005C6FBD">
            <w:pPr>
              <w:rPr>
                <w:rFonts w:ascii="Times New Roman" w:hAnsi="Times New Roman"/>
                <w:sz w:val="21"/>
                <w:szCs w:val="21"/>
              </w:rPr>
            </w:pPr>
            <w:r w:rsidRPr="005C6FBD">
              <w:rPr>
                <w:rFonts w:ascii="Times New Roman" w:hAnsi="Times New Roman"/>
                <w:color w:val="000000" w:themeColor="text1"/>
                <w:sz w:val="21"/>
                <w:szCs w:val="21"/>
              </w:rPr>
              <w:t xml:space="preserve">Aprendizaje basado en retos </w:t>
            </w:r>
            <w:r w:rsidRPr="005C6FBD">
              <w:rPr>
                <w:rFonts w:ascii="Times New Roman" w:hAnsi="Times New Roman"/>
                <w:sz w:val="21"/>
                <w:szCs w:val="21"/>
              </w:rPr>
              <w:t xml:space="preserve"> </w:t>
            </w:r>
          </w:p>
        </w:tc>
        <w:tc>
          <w:tcPr>
            <w:tcW w:w="1305" w:type="dxa"/>
          </w:tcPr>
          <w:p w14:paraId="155177BB" w14:textId="30F3C02B" w:rsidR="1CEEED8E" w:rsidRPr="005C6FBD" w:rsidRDefault="2689E3B7" w:rsidP="005C6FBD">
            <w:pPr>
              <w:rPr>
                <w:rFonts w:ascii="Times New Roman" w:hAnsi="Times New Roman"/>
                <w:sz w:val="21"/>
                <w:szCs w:val="21"/>
              </w:rPr>
            </w:pPr>
            <w:r w:rsidRPr="005C6FBD">
              <w:rPr>
                <w:rFonts w:ascii="Times New Roman" w:hAnsi="Times New Roman"/>
                <w:sz w:val="21"/>
                <w:szCs w:val="21"/>
              </w:rPr>
              <w:t>72</w:t>
            </w:r>
          </w:p>
        </w:tc>
        <w:tc>
          <w:tcPr>
            <w:tcW w:w="1980" w:type="dxa"/>
          </w:tcPr>
          <w:p w14:paraId="51F96DBF" w14:textId="7A5DE8EF" w:rsidR="1CEEED8E" w:rsidRPr="005C6FBD" w:rsidRDefault="7A5DE072" w:rsidP="005C6FBD">
            <w:pPr>
              <w:rPr>
                <w:rFonts w:ascii="Times New Roman" w:hAnsi="Times New Roman"/>
                <w:sz w:val="21"/>
                <w:szCs w:val="21"/>
              </w:rPr>
            </w:pPr>
            <w:r w:rsidRPr="005C6FBD">
              <w:rPr>
                <w:rFonts w:ascii="Times New Roman" w:hAnsi="Times New Roman"/>
                <w:sz w:val="21"/>
                <w:szCs w:val="21"/>
              </w:rPr>
              <w:t>50</w:t>
            </w:r>
          </w:p>
        </w:tc>
      </w:tr>
      <w:tr w:rsidR="1CEEED8E" w:rsidRPr="005C6FBD" w14:paraId="2835AE2A" w14:textId="77777777" w:rsidTr="00E6124E">
        <w:trPr>
          <w:trHeight w:val="300"/>
        </w:trPr>
        <w:tc>
          <w:tcPr>
            <w:tcW w:w="1245" w:type="dxa"/>
            <w:vMerge/>
            <w:vAlign w:val="center"/>
          </w:tcPr>
          <w:p w14:paraId="663CCFC8" w14:textId="77777777" w:rsidR="00E07B1D" w:rsidRPr="005C6FBD" w:rsidRDefault="00E07B1D" w:rsidP="005C6FBD">
            <w:pPr>
              <w:rPr>
                <w:rFonts w:ascii="Times New Roman" w:hAnsi="Times New Roman"/>
                <w:sz w:val="21"/>
                <w:szCs w:val="21"/>
              </w:rPr>
            </w:pPr>
          </w:p>
        </w:tc>
        <w:tc>
          <w:tcPr>
            <w:tcW w:w="4185" w:type="dxa"/>
          </w:tcPr>
          <w:p w14:paraId="3656FA4B" w14:textId="7CB9C5C8" w:rsidR="1CEEED8E" w:rsidRPr="005C6FBD" w:rsidRDefault="2689E3B7" w:rsidP="005C6FBD">
            <w:pPr>
              <w:rPr>
                <w:rFonts w:ascii="Times New Roman" w:hAnsi="Times New Roman"/>
                <w:sz w:val="21"/>
                <w:szCs w:val="21"/>
              </w:rPr>
            </w:pPr>
            <w:r w:rsidRPr="005C6FBD">
              <w:rPr>
                <w:rFonts w:ascii="Times New Roman" w:hAnsi="Times New Roman"/>
                <w:color w:val="000000" w:themeColor="text1"/>
                <w:sz w:val="21"/>
                <w:szCs w:val="21"/>
              </w:rPr>
              <w:t xml:space="preserve">Resolución de problemas </w:t>
            </w:r>
            <w:r w:rsidRPr="005C6FBD">
              <w:rPr>
                <w:rFonts w:ascii="Times New Roman" w:hAnsi="Times New Roman"/>
                <w:sz w:val="21"/>
                <w:szCs w:val="21"/>
              </w:rPr>
              <w:t xml:space="preserve"> </w:t>
            </w:r>
          </w:p>
        </w:tc>
        <w:tc>
          <w:tcPr>
            <w:tcW w:w="1305" w:type="dxa"/>
          </w:tcPr>
          <w:p w14:paraId="4D5001B3" w14:textId="571F7B21" w:rsidR="1CEEED8E" w:rsidRPr="005C6FBD" w:rsidRDefault="2689E3B7" w:rsidP="005C6FBD">
            <w:pPr>
              <w:rPr>
                <w:rFonts w:ascii="Times New Roman" w:hAnsi="Times New Roman"/>
                <w:sz w:val="21"/>
                <w:szCs w:val="21"/>
              </w:rPr>
            </w:pPr>
            <w:r w:rsidRPr="005C6FBD">
              <w:rPr>
                <w:rFonts w:ascii="Times New Roman" w:hAnsi="Times New Roman"/>
                <w:sz w:val="21"/>
                <w:szCs w:val="21"/>
              </w:rPr>
              <w:t>99</w:t>
            </w:r>
          </w:p>
        </w:tc>
        <w:tc>
          <w:tcPr>
            <w:tcW w:w="1980" w:type="dxa"/>
          </w:tcPr>
          <w:p w14:paraId="197DF179" w14:textId="18216A9D" w:rsidR="1CEEED8E" w:rsidRPr="005C6FBD" w:rsidRDefault="2689E3B7" w:rsidP="005C6FBD">
            <w:pPr>
              <w:rPr>
                <w:rFonts w:ascii="Times New Roman" w:hAnsi="Times New Roman"/>
                <w:sz w:val="21"/>
                <w:szCs w:val="21"/>
              </w:rPr>
            </w:pPr>
            <w:r w:rsidRPr="005C6FBD">
              <w:rPr>
                <w:rFonts w:ascii="Times New Roman" w:hAnsi="Times New Roman"/>
                <w:sz w:val="21"/>
                <w:szCs w:val="21"/>
              </w:rPr>
              <w:t>68.8</w:t>
            </w:r>
          </w:p>
        </w:tc>
      </w:tr>
      <w:tr w:rsidR="1CEEED8E" w:rsidRPr="005C6FBD" w14:paraId="63349E5F" w14:textId="77777777" w:rsidTr="00E6124E">
        <w:trPr>
          <w:trHeight w:val="300"/>
        </w:trPr>
        <w:tc>
          <w:tcPr>
            <w:tcW w:w="1245" w:type="dxa"/>
            <w:vMerge/>
            <w:vAlign w:val="center"/>
          </w:tcPr>
          <w:p w14:paraId="36F440DA" w14:textId="77777777" w:rsidR="00E07B1D" w:rsidRPr="005C6FBD" w:rsidRDefault="00E07B1D" w:rsidP="005C6FBD">
            <w:pPr>
              <w:rPr>
                <w:rFonts w:ascii="Times New Roman" w:hAnsi="Times New Roman"/>
                <w:sz w:val="21"/>
                <w:szCs w:val="21"/>
              </w:rPr>
            </w:pPr>
          </w:p>
        </w:tc>
        <w:tc>
          <w:tcPr>
            <w:tcW w:w="4185" w:type="dxa"/>
          </w:tcPr>
          <w:p w14:paraId="1D12BA25" w14:textId="7114E40E" w:rsidR="1CEEED8E" w:rsidRPr="005C6FBD" w:rsidRDefault="2689E3B7" w:rsidP="005C6FBD">
            <w:pPr>
              <w:rPr>
                <w:rFonts w:ascii="Times New Roman" w:hAnsi="Times New Roman"/>
                <w:sz w:val="21"/>
                <w:szCs w:val="21"/>
              </w:rPr>
            </w:pPr>
            <w:r w:rsidRPr="005C6FBD">
              <w:rPr>
                <w:rFonts w:ascii="Times New Roman" w:hAnsi="Times New Roman"/>
                <w:color w:val="000000" w:themeColor="text1"/>
                <w:sz w:val="21"/>
                <w:szCs w:val="21"/>
              </w:rPr>
              <w:t>Trabajo en grupo</w:t>
            </w:r>
            <w:r w:rsidRPr="005C6FBD">
              <w:rPr>
                <w:rFonts w:ascii="Times New Roman" w:hAnsi="Times New Roman"/>
                <w:sz w:val="21"/>
                <w:szCs w:val="21"/>
              </w:rPr>
              <w:t xml:space="preserve"> </w:t>
            </w:r>
          </w:p>
        </w:tc>
        <w:tc>
          <w:tcPr>
            <w:tcW w:w="1305" w:type="dxa"/>
          </w:tcPr>
          <w:p w14:paraId="714CC6EA" w14:textId="1269D338" w:rsidR="1CEEED8E" w:rsidRPr="005C6FBD" w:rsidRDefault="2689E3B7" w:rsidP="005C6FBD">
            <w:pPr>
              <w:rPr>
                <w:rFonts w:ascii="Times New Roman" w:hAnsi="Times New Roman"/>
                <w:sz w:val="21"/>
                <w:szCs w:val="21"/>
              </w:rPr>
            </w:pPr>
            <w:r w:rsidRPr="005C6FBD">
              <w:rPr>
                <w:rFonts w:ascii="Times New Roman" w:hAnsi="Times New Roman"/>
                <w:sz w:val="21"/>
                <w:szCs w:val="21"/>
              </w:rPr>
              <w:t>114</w:t>
            </w:r>
          </w:p>
        </w:tc>
        <w:tc>
          <w:tcPr>
            <w:tcW w:w="1980" w:type="dxa"/>
          </w:tcPr>
          <w:p w14:paraId="2E11773C" w14:textId="604D95BD" w:rsidR="1CEEED8E" w:rsidRPr="005C6FBD" w:rsidRDefault="7A5DE072" w:rsidP="005C6FBD">
            <w:pPr>
              <w:rPr>
                <w:rFonts w:ascii="Times New Roman" w:hAnsi="Times New Roman"/>
                <w:sz w:val="21"/>
                <w:szCs w:val="21"/>
              </w:rPr>
            </w:pPr>
            <w:r w:rsidRPr="005C6FBD">
              <w:rPr>
                <w:rFonts w:ascii="Times New Roman" w:hAnsi="Times New Roman"/>
                <w:sz w:val="21"/>
                <w:szCs w:val="21"/>
              </w:rPr>
              <w:t>79.2</w:t>
            </w:r>
          </w:p>
        </w:tc>
      </w:tr>
      <w:tr w:rsidR="1CEEED8E" w:rsidRPr="005C6FBD" w14:paraId="5605EB3A" w14:textId="77777777" w:rsidTr="00E6124E">
        <w:trPr>
          <w:trHeight w:val="300"/>
        </w:trPr>
        <w:tc>
          <w:tcPr>
            <w:tcW w:w="1245" w:type="dxa"/>
            <w:vMerge/>
            <w:vAlign w:val="center"/>
          </w:tcPr>
          <w:p w14:paraId="240105FB" w14:textId="77777777" w:rsidR="00E07B1D" w:rsidRPr="005C6FBD" w:rsidRDefault="00E07B1D" w:rsidP="005C6FBD">
            <w:pPr>
              <w:rPr>
                <w:rFonts w:ascii="Times New Roman" w:hAnsi="Times New Roman"/>
                <w:sz w:val="21"/>
                <w:szCs w:val="21"/>
              </w:rPr>
            </w:pPr>
          </w:p>
        </w:tc>
        <w:tc>
          <w:tcPr>
            <w:tcW w:w="4185" w:type="dxa"/>
          </w:tcPr>
          <w:p w14:paraId="162B300D" w14:textId="4F8FFDE6" w:rsidR="1CEEED8E" w:rsidRPr="005C6FBD" w:rsidRDefault="2689E3B7" w:rsidP="005C6FBD">
            <w:pPr>
              <w:rPr>
                <w:rFonts w:ascii="Times New Roman" w:hAnsi="Times New Roman"/>
                <w:sz w:val="21"/>
                <w:szCs w:val="21"/>
              </w:rPr>
            </w:pPr>
            <w:r w:rsidRPr="005C6FBD">
              <w:rPr>
                <w:rFonts w:ascii="Times New Roman" w:hAnsi="Times New Roman"/>
                <w:sz w:val="21"/>
                <w:szCs w:val="21"/>
              </w:rPr>
              <w:t>Presentaciones orales por parte del alumnado</w:t>
            </w:r>
          </w:p>
        </w:tc>
        <w:tc>
          <w:tcPr>
            <w:tcW w:w="1305" w:type="dxa"/>
          </w:tcPr>
          <w:p w14:paraId="4DFBF8C7" w14:textId="7A38B680" w:rsidR="1CEEED8E" w:rsidRPr="005C6FBD" w:rsidRDefault="2689E3B7" w:rsidP="005C6FBD">
            <w:pPr>
              <w:rPr>
                <w:rFonts w:ascii="Times New Roman" w:hAnsi="Times New Roman"/>
                <w:sz w:val="21"/>
                <w:szCs w:val="21"/>
              </w:rPr>
            </w:pPr>
            <w:r w:rsidRPr="005C6FBD">
              <w:rPr>
                <w:rFonts w:ascii="Times New Roman" w:hAnsi="Times New Roman"/>
                <w:sz w:val="21"/>
                <w:szCs w:val="21"/>
              </w:rPr>
              <w:t>101</w:t>
            </w:r>
          </w:p>
        </w:tc>
        <w:tc>
          <w:tcPr>
            <w:tcW w:w="1980" w:type="dxa"/>
          </w:tcPr>
          <w:p w14:paraId="4F700F46" w14:textId="6594FE30" w:rsidR="1CEEED8E" w:rsidRPr="005C6FBD" w:rsidRDefault="2689E3B7" w:rsidP="005C6FBD">
            <w:pPr>
              <w:rPr>
                <w:rFonts w:ascii="Times New Roman" w:hAnsi="Times New Roman"/>
                <w:sz w:val="21"/>
                <w:szCs w:val="21"/>
              </w:rPr>
            </w:pPr>
            <w:r w:rsidRPr="005C6FBD">
              <w:rPr>
                <w:rFonts w:ascii="Times New Roman" w:hAnsi="Times New Roman"/>
                <w:sz w:val="21"/>
                <w:szCs w:val="21"/>
              </w:rPr>
              <w:t>70.1</w:t>
            </w:r>
          </w:p>
        </w:tc>
      </w:tr>
    </w:tbl>
    <w:p w14:paraId="6DF5A0D9" w14:textId="05DD9962" w:rsidR="1CEEED8E" w:rsidRPr="005C6FBD" w:rsidRDefault="7A5DE072" w:rsidP="005C6FBD">
      <w:pPr>
        <w:spacing w:after="160" w:line="259" w:lineRule="auto"/>
        <w:rPr>
          <w:rFonts w:ascii="Times New Roman" w:hAnsi="Times New Roman"/>
          <w:sz w:val="24"/>
          <w:szCs w:val="24"/>
        </w:rPr>
      </w:pPr>
      <w:r w:rsidRPr="005C6FBD">
        <w:rPr>
          <w:rFonts w:ascii="Times New Roman" w:hAnsi="Times New Roman"/>
          <w:sz w:val="24"/>
          <w:szCs w:val="24"/>
        </w:rPr>
        <w:t>Fuente: elaboración propia.</w:t>
      </w:r>
    </w:p>
    <w:p w14:paraId="2151E7E5" w14:textId="77777777" w:rsidR="00C93CDF" w:rsidRPr="005C6FBD" w:rsidRDefault="00C93CDF" w:rsidP="005C6FBD">
      <w:pPr>
        <w:spacing w:after="160" w:line="259" w:lineRule="auto"/>
        <w:rPr>
          <w:rFonts w:ascii="Times New Roman" w:hAnsi="Times New Roman"/>
          <w:sz w:val="24"/>
          <w:szCs w:val="24"/>
        </w:rPr>
      </w:pPr>
    </w:p>
    <w:p w14:paraId="759B3FD9" w14:textId="77777777" w:rsidR="00C93CDF" w:rsidRPr="005C6FBD" w:rsidRDefault="00C93CDF" w:rsidP="005C6FBD">
      <w:pPr>
        <w:spacing w:line="240" w:lineRule="auto"/>
        <w:ind w:firstLine="284"/>
        <w:jc w:val="both"/>
        <w:rPr>
          <w:rFonts w:ascii="Times New Roman" w:hAnsi="Times New Roman"/>
          <w:i/>
          <w:iCs/>
          <w:sz w:val="24"/>
          <w:szCs w:val="24"/>
        </w:rPr>
      </w:pPr>
      <w:r w:rsidRPr="005C6FBD">
        <w:rPr>
          <w:rFonts w:ascii="Times New Roman" w:hAnsi="Times New Roman"/>
          <w:i/>
          <w:iCs/>
          <w:sz w:val="24"/>
          <w:szCs w:val="24"/>
        </w:rPr>
        <w:t>1.4.2. Resultados descriptivos estudiantes</w:t>
      </w:r>
    </w:p>
    <w:p w14:paraId="1D5045FB" w14:textId="13EB48ED" w:rsidR="005C6FBD" w:rsidRPr="005C6FBD" w:rsidRDefault="00C93CDF" w:rsidP="00267054">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En la tabla </w:t>
      </w:r>
      <w:r w:rsidRPr="005C6FBD">
        <w:rPr>
          <w:rFonts w:ascii="Times New Roman" w:hAnsi="Times New Roman"/>
          <w:sz w:val="24"/>
          <w:szCs w:val="24"/>
        </w:rPr>
        <w:t>4</w:t>
      </w:r>
      <w:r w:rsidRPr="005C6FBD">
        <w:rPr>
          <w:rFonts w:ascii="Times New Roman" w:hAnsi="Times New Roman"/>
          <w:sz w:val="24"/>
          <w:szCs w:val="24"/>
        </w:rPr>
        <w:t xml:space="preserve"> se muestran los porcentajes de respuesta del estudiantado al respecto de las estrategias didácticas. En ella destaca la alta valoración a la afirmación “Aprendo más si se plantean de un modo flexible” con un 30,6% entre las opciones muy de acuerdo y totalmente de acuerdo. Mientras que las estrategias destinadas a la colaboración entre los ciclos de FP son valoradas más negativamente, con un 24,8% de las opciones nada de acuerdo y poco de acuerdo. </w:t>
      </w:r>
    </w:p>
    <w:p w14:paraId="2F6CCDA9" w14:textId="7F4660D5" w:rsidR="00C93CDF" w:rsidRPr="005C6FBD" w:rsidRDefault="00C93CDF" w:rsidP="005C6FBD">
      <w:pPr>
        <w:spacing w:line="240" w:lineRule="auto"/>
        <w:jc w:val="center"/>
        <w:rPr>
          <w:rFonts w:ascii="Times New Roman" w:hAnsi="Times New Roman"/>
          <w:sz w:val="20"/>
          <w:szCs w:val="20"/>
        </w:rPr>
      </w:pPr>
      <w:r w:rsidRPr="005C6FBD">
        <w:rPr>
          <w:rFonts w:ascii="Times New Roman" w:hAnsi="Times New Roman"/>
          <w:b/>
          <w:bCs/>
          <w:sz w:val="20"/>
          <w:szCs w:val="20"/>
        </w:rPr>
        <w:t xml:space="preserve">Tabla </w:t>
      </w:r>
      <w:r w:rsidRPr="005C6FBD">
        <w:rPr>
          <w:rFonts w:ascii="Times New Roman" w:hAnsi="Times New Roman"/>
          <w:b/>
          <w:bCs/>
          <w:sz w:val="20"/>
          <w:szCs w:val="20"/>
        </w:rPr>
        <w:t>4</w:t>
      </w:r>
      <w:r w:rsidRPr="005C6FBD">
        <w:rPr>
          <w:rFonts w:ascii="Times New Roman" w:hAnsi="Times New Roman"/>
          <w:b/>
          <w:bCs/>
          <w:sz w:val="20"/>
          <w:szCs w:val="20"/>
        </w:rPr>
        <w:t>.</w:t>
      </w:r>
      <w:r w:rsidRPr="005C6FBD">
        <w:rPr>
          <w:rFonts w:ascii="Times New Roman" w:hAnsi="Times New Roman"/>
          <w:sz w:val="20"/>
          <w:szCs w:val="20"/>
        </w:rPr>
        <w:t xml:space="preserve"> Respuestas de estudiantes (%).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408"/>
        <w:gridCol w:w="2420"/>
        <w:gridCol w:w="992"/>
        <w:gridCol w:w="992"/>
        <w:gridCol w:w="1134"/>
        <w:gridCol w:w="901"/>
        <w:gridCol w:w="1185"/>
      </w:tblGrid>
      <w:tr w:rsidR="00C93CDF" w:rsidRPr="005C6FBD" w14:paraId="68EC611C" w14:textId="77777777" w:rsidTr="005C6FBD">
        <w:trPr>
          <w:trHeight w:val="315"/>
        </w:trPr>
        <w:tc>
          <w:tcPr>
            <w:tcW w:w="3828" w:type="dxa"/>
            <w:gridSpan w:val="2"/>
            <w:tcBorders>
              <w:top w:val="single" w:sz="4" w:space="0" w:color="auto"/>
              <w:bottom w:val="single" w:sz="4" w:space="0" w:color="auto"/>
            </w:tcBorders>
            <w:vAlign w:val="bottom"/>
          </w:tcPr>
          <w:p w14:paraId="7C1A8B55" w14:textId="77777777" w:rsidR="00C93CDF" w:rsidRPr="005C6FBD" w:rsidRDefault="00C93CDF" w:rsidP="005C6FBD">
            <w:pPr>
              <w:rPr>
                <w:rFonts w:ascii="Times New Roman" w:hAnsi="Times New Roman"/>
                <w:color w:val="000000" w:themeColor="text1"/>
                <w:sz w:val="21"/>
                <w:szCs w:val="21"/>
              </w:rPr>
            </w:pPr>
          </w:p>
          <w:p w14:paraId="21602BE6"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Ítems</w:t>
            </w:r>
          </w:p>
        </w:tc>
        <w:tc>
          <w:tcPr>
            <w:tcW w:w="992" w:type="dxa"/>
            <w:tcBorders>
              <w:top w:val="single" w:sz="4" w:space="0" w:color="auto"/>
              <w:bottom w:val="single" w:sz="4" w:space="0" w:color="auto"/>
            </w:tcBorders>
            <w:vAlign w:val="bottom"/>
          </w:tcPr>
          <w:p w14:paraId="0180DF50"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Nada de acuerdo</w:t>
            </w:r>
          </w:p>
        </w:tc>
        <w:tc>
          <w:tcPr>
            <w:tcW w:w="992" w:type="dxa"/>
            <w:tcBorders>
              <w:top w:val="single" w:sz="4" w:space="0" w:color="auto"/>
              <w:bottom w:val="single" w:sz="4" w:space="0" w:color="auto"/>
            </w:tcBorders>
            <w:vAlign w:val="bottom"/>
          </w:tcPr>
          <w:p w14:paraId="4803C1D9"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Poco de acuerdo</w:t>
            </w:r>
          </w:p>
        </w:tc>
        <w:tc>
          <w:tcPr>
            <w:tcW w:w="1134" w:type="dxa"/>
            <w:tcBorders>
              <w:top w:val="single" w:sz="4" w:space="0" w:color="auto"/>
              <w:bottom w:val="single" w:sz="4" w:space="0" w:color="auto"/>
            </w:tcBorders>
            <w:vAlign w:val="bottom"/>
          </w:tcPr>
          <w:p w14:paraId="53308E1B"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Bastante de acuerdo</w:t>
            </w:r>
          </w:p>
        </w:tc>
        <w:tc>
          <w:tcPr>
            <w:tcW w:w="901" w:type="dxa"/>
            <w:tcBorders>
              <w:top w:val="single" w:sz="4" w:space="0" w:color="auto"/>
              <w:bottom w:val="single" w:sz="4" w:space="0" w:color="auto"/>
            </w:tcBorders>
            <w:vAlign w:val="bottom"/>
          </w:tcPr>
          <w:p w14:paraId="08C872CF"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Muy de acuerdo</w:t>
            </w:r>
          </w:p>
        </w:tc>
        <w:tc>
          <w:tcPr>
            <w:tcW w:w="1185" w:type="dxa"/>
            <w:tcBorders>
              <w:top w:val="single" w:sz="4" w:space="0" w:color="auto"/>
              <w:bottom w:val="single" w:sz="4" w:space="0" w:color="auto"/>
            </w:tcBorders>
            <w:vAlign w:val="bottom"/>
          </w:tcPr>
          <w:p w14:paraId="0CE9303E"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Totalmente de acuerdo</w:t>
            </w:r>
          </w:p>
        </w:tc>
      </w:tr>
      <w:tr w:rsidR="00C93CDF" w:rsidRPr="005C6FBD" w14:paraId="47218D33" w14:textId="77777777" w:rsidTr="005C6FBD">
        <w:trPr>
          <w:trHeight w:val="345"/>
        </w:trPr>
        <w:tc>
          <w:tcPr>
            <w:tcW w:w="1408" w:type="dxa"/>
            <w:vMerge w:val="restart"/>
            <w:tcBorders>
              <w:top w:val="single" w:sz="4" w:space="0" w:color="auto"/>
              <w:bottom w:val="nil"/>
            </w:tcBorders>
            <w:vAlign w:val="center"/>
          </w:tcPr>
          <w:p w14:paraId="4F565DEA" w14:textId="77777777" w:rsidR="00C93CDF" w:rsidRPr="005C6FBD" w:rsidRDefault="00C93CDF" w:rsidP="005C6FBD">
            <w:pPr>
              <w:jc w:val="center"/>
              <w:rPr>
                <w:rFonts w:ascii="Times New Roman" w:hAnsi="Times New Roman"/>
                <w:color w:val="000000" w:themeColor="text1"/>
                <w:sz w:val="21"/>
                <w:szCs w:val="21"/>
              </w:rPr>
            </w:pPr>
            <w:r w:rsidRPr="005C6FBD">
              <w:rPr>
                <w:rFonts w:ascii="Times New Roman" w:hAnsi="Times New Roman"/>
                <w:color w:val="000000" w:themeColor="text1"/>
                <w:sz w:val="21"/>
                <w:szCs w:val="21"/>
              </w:rPr>
              <w:t>Las estrategias de enseñanza y aprendizaje que utiliza el profesorado…</w:t>
            </w:r>
          </w:p>
        </w:tc>
        <w:tc>
          <w:tcPr>
            <w:tcW w:w="2420" w:type="dxa"/>
            <w:tcBorders>
              <w:top w:val="single" w:sz="4" w:space="0" w:color="auto"/>
              <w:bottom w:val="nil"/>
            </w:tcBorders>
            <w:vAlign w:val="bottom"/>
          </w:tcPr>
          <w:p w14:paraId="3F5DC5AE"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Son variadas</w:t>
            </w:r>
          </w:p>
        </w:tc>
        <w:tc>
          <w:tcPr>
            <w:tcW w:w="992" w:type="dxa"/>
            <w:tcBorders>
              <w:top w:val="single" w:sz="4" w:space="0" w:color="auto"/>
              <w:bottom w:val="nil"/>
            </w:tcBorders>
            <w:vAlign w:val="bottom"/>
          </w:tcPr>
          <w:p w14:paraId="0B757EBA"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2,2</w:t>
            </w:r>
          </w:p>
        </w:tc>
        <w:tc>
          <w:tcPr>
            <w:tcW w:w="992" w:type="dxa"/>
            <w:tcBorders>
              <w:top w:val="single" w:sz="4" w:space="0" w:color="auto"/>
              <w:bottom w:val="nil"/>
            </w:tcBorders>
            <w:vAlign w:val="bottom"/>
          </w:tcPr>
          <w:p w14:paraId="358B693B"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11,1</w:t>
            </w:r>
          </w:p>
        </w:tc>
        <w:tc>
          <w:tcPr>
            <w:tcW w:w="1134" w:type="dxa"/>
            <w:tcBorders>
              <w:top w:val="single" w:sz="4" w:space="0" w:color="auto"/>
              <w:bottom w:val="nil"/>
            </w:tcBorders>
            <w:vAlign w:val="bottom"/>
          </w:tcPr>
          <w:p w14:paraId="4050D719"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33,3</w:t>
            </w:r>
          </w:p>
        </w:tc>
        <w:tc>
          <w:tcPr>
            <w:tcW w:w="901" w:type="dxa"/>
            <w:tcBorders>
              <w:top w:val="single" w:sz="4" w:space="0" w:color="auto"/>
              <w:bottom w:val="nil"/>
            </w:tcBorders>
            <w:vAlign w:val="bottom"/>
          </w:tcPr>
          <w:p w14:paraId="7858ABAD"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13,5</w:t>
            </w:r>
          </w:p>
        </w:tc>
        <w:tc>
          <w:tcPr>
            <w:tcW w:w="1185" w:type="dxa"/>
            <w:tcBorders>
              <w:top w:val="single" w:sz="4" w:space="0" w:color="auto"/>
              <w:bottom w:val="nil"/>
            </w:tcBorders>
            <w:vAlign w:val="bottom"/>
          </w:tcPr>
          <w:p w14:paraId="7CBF04A1"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7,2</w:t>
            </w:r>
          </w:p>
        </w:tc>
      </w:tr>
      <w:tr w:rsidR="00C93CDF" w:rsidRPr="005C6FBD" w14:paraId="7E586EEA" w14:textId="77777777" w:rsidTr="005C6FBD">
        <w:trPr>
          <w:trHeight w:val="345"/>
        </w:trPr>
        <w:tc>
          <w:tcPr>
            <w:tcW w:w="1408" w:type="dxa"/>
            <w:vMerge/>
            <w:tcBorders>
              <w:top w:val="nil"/>
              <w:bottom w:val="nil"/>
            </w:tcBorders>
            <w:vAlign w:val="center"/>
          </w:tcPr>
          <w:p w14:paraId="6D32A8FA" w14:textId="77777777" w:rsidR="00C93CDF" w:rsidRPr="005C6FBD" w:rsidRDefault="00C93CDF" w:rsidP="005C6FBD">
            <w:pPr>
              <w:rPr>
                <w:rFonts w:ascii="Times New Roman" w:hAnsi="Times New Roman"/>
                <w:sz w:val="21"/>
                <w:szCs w:val="21"/>
              </w:rPr>
            </w:pPr>
          </w:p>
        </w:tc>
        <w:tc>
          <w:tcPr>
            <w:tcW w:w="2420" w:type="dxa"/>
            <w:tcBorders>
              <w:top w:val="nil"/>
              <w:bottom w:val="nil"/>
            </w:tcBorders>
            <w:vAlign w:val="bottom"/>
          </w:tcPr>
          <w:p w14:paraId="4B897BA7"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Favorecen mi aprendizaje</w:t>
            </w:r>
          </w:p>
        </w:tc>
        <w:tc>
          <w:tcPr>
            <w:tcW w:w="992" w:type="dxa"/>
            <w:tcBorders>
              <w:top w:val="nil"/>
              <w:bottom w:val="nil"/>
            </w:tcBorders>
            <w:vAlign w:val="bottom"/>
          </w:tcPr>
          <w:p w14:paraId="745980D1"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1,5</w:t>
            </w:r>
          </w:p>
        </w:tc>
        <w:tc>
          <w:tcPr>
            <w:tcW w:w="992" w:type="dxa"/>
            <w:tcBorders>
              <w:top w:val="nil"/>
              <w:bottom w:val="nil"/>
            </w:tcBorders>
            <w:vAlign w:val="bottom"/>
          </w:tcPr>
          <w:p w14:paraId="28AFD93F"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11,7</w:t>
            </w:r>
          </w:p>
        </w:tc>
        <w:tc>
          <w:tcPr>
            <w:tcW w:w="1134" w:type="dxa"/>
            <w:tcBorders>
              <w:top w:val="nil"/>
              <w:bottom w:val="nil"/>
            </w:tcBorders>
            <w:vAlign w:val="bottom"/>
          </w:tcPr>
          <w:p w14:paraId="7D2E2185"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27,4</w:t>
            </w:r>
          </w:p>
        </w:tc>
        <w:tc>
          <w:tcPr>
            <w:tcW w:w="901" w:type="dxa"/>
            <w:tcBorders>
              <w:top w:val="nil"/>
              <w:bottom w:val="nil"/>
            </w:tcBorders>
            <w:vAlign w:val="bottom"/>
          </w:tcPr>
          <w:p w14:paraId="6DC8F123"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17,4</w:t>
            </w:r>
          </w:p>
        </w:tc>
        <w:tc>
          <w:tcPr>
            <w:tcW w:w="1185" w:type="dxa"/>
            <w:tcBorders>
              <w:top w:val="nil"/>
              <w:bottom w:val="nil"/>
            </w:tcBorders>
            <w:vAlign w:val="bottom"/>
          </w:tcPr>
          <w:p w14:paraId="50D7B570"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9,1</w:t>
            </w:r>
          </w:p>
        </w:tc>
      </w:tr>
      <w:tr w:rsidR="00C93CDF" w:rsidRPr="005C6FBD" w14:paraId="57DC35E8" w14:textId="77777777" w:rsidTr="005C6FBD">
        <w:trPr>
          <w:trHeight w:val="1020"/>
        </w:trPr>
        <w:tc>
          <w:tcPr>
            <w:tcW w:w="1408" w:type="dxa"/>
            <w:vMerge/>
            <w:tcBorders>
              <w:top w:val="nil"/>
              <w:bottom w:val="single" w:sz="4" w:space="0" w:color="auto"/>
            </w:tcBorders>
            <w:vAlign w:val="center"/>
          </w:tcPr>
          <w:p w14:paraId="21A3F00F" w14:textId="77777777" w:rsidR="00C93CDF" w:rsidRPr="005C6FBD" w:rsidRDefault="00C93CDF" w:rsidP="005C6FBD">
            <w:pPr>
              <w:rPr>
                <w:rFonts w:ascii="Times New Roman" w:hAnsi="Times New Roman"/>
                <w:sz w:val="21"/>
                <w:szCs w:val="21"/>
              </w:rPr>
            </w:pPr>
          </w:p>
        </w:tc>
        <w:tc>
          <w:tcPr>
            <w:tcW w:w="2420" w:type="dxa"/>
            <w:tcBorders>
              <w:top w:val="nil"/>
              <w:bottom w:val="single" w:sz="4" w:space="0" w:color="auto"/>
            </w:tcBorders>
            <w:vAlign w:val="bottom"/>
          </w:tcPr>
          <w:p w14:paraId="293D3C67"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Favorecen el desarrollo de mis competencias necesarias para el mercado laboral</w:t>
            </w:r>
          </w:p>
        </w:tc>
        <w:tc>
          <w:tcPr>
            <w:tcW w:w="992" w:type="dxa"/>
            <w:tcBorders>
              <w:top w:val="nil"/>
              <w:bottom w:val="single" w:sz="4" w:space="0" w:color="auto"/>
            </w:tcBorders>
            <w:vAlign w:val="bottom"/>
          </w:tcPr>
          <w:p w14:paraId="2D4303CD"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2,8</w:t>
            </w:r>
          </w:p>
        </w:tc>
        <w:tc>
          <w:tcPr>
            <w:tcW w:w="992" w:type="dxa"/>
            <w:tcBorders>
              <w:top w:val="nil"/>
              <w:bottom w:val="single" w:sz="4" w:space="0" w:color="auto"/>
            </w:tcBorders>
            <w:vAlign w:val="bottom"/>
          </w:tcPr>
          <w:p w14:paraId="7EF594C7"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9,1</w:t>
            </w:r>
          </w:p>
        </w:tc>
        <w:tc>
          <w:tcPr>
            <w:tcW w:w="1134" w:type="dxa"/>
            <w:tcBorders>
              <w:top w:val="nil"/>
              <w:bottom w:val="single" w:sz="4" w:space="0" w:color="auto"/>
            </w:tcBorders>
            <w:vAlign w:val="bottom"/>
          </w:tcPr>
          <w:p w14:paraId="2E59972C"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31,1</w:t>
            </w:r>
          </w:p>
        </w:tc>
        <w:tc>
          <w:tcPr>
            <w:tcW w:w="901" w:type="dxa"/>
            <w:tcBorders>
              <w:top w:val="nil"/>
              <w:bottom w:val="single" w:sz="4" w:space="0" w:color="auto"/>
            </w:tcBorders>
            <w:vAlign w:val="bottom"/>
          </w:tcPr>
          <w:p w14:paraId="3E0936A5"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14,8</w:t>
            </w:r>
          </w:p>
        </w:tc>
        <w:tc>
          <w:tcPr>
            <w:tcW w:w="1185" w:type="dxa"/>
            <w:tcBorders>
              <w:top w:val="nil"/>
              <w:bottom w:val="single" w:sz="4" w:space="0" w:color="auto"/>
            </w:tcBorders>
            <w:vAlign w:val="bottom"/>
          </w:tcPr>
          <w:p w14:paraId="0282329C"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9,3</w:t>
            </w:r>
          </w:p>
        </w:tc>
      </w:tr>
      <w:tr w:rsidR="00C93CDF" w:rsidRPr="005C6FBD" w14:paraId="5B2B9BFB" w14:textId="77777777" w:rsidTr="005C6FBD">
        <w:trPr>
          <w:trHeight w:val="345"/>
        </w:trPr>
        <w:tc>
          <w:tcPr>
            <w:tcW w:w="1408" w:type="dxa"/>
            <w:vMerge w:val="restart"/>
            <w:tcBorders>
              <w:top w:val="single" w:sz="4" w:space="0" w:color="auto"/>
              <w:bottom w:val="nil"/>
            </w:tcBorders>
            <w:vAlign w:val="center"/>
          </w:tcPr>
          <w:p w14:paraId="360CD7B5" w14:textId="77777777" w:rsidR="00C93CDF" w:rsidRPr="005C6FBD" w:rsidRDefault="00C93CDF" w:rsidP="005C6FBD">
            <w:pPr>
              <w:jc w:val="center"/>
              <w:rPr>
                <w:rFonts w:ascii="Times New Roman" w:hAnsi="Times New Roman"/>
                <w:color w:val="000000" w:themeColor="text1"/>
                <w:sz w:val="21"/>
                <w:szCs w:val="21"/>
              </w:rPr>
            </w:pPr>
            <w:r w:rsidRPr="005C6FBD">
              <w:rPr>
                <w:rFonts w:ascii="Times New Roman" w:hAnsi="Times New Roman"/>
                <w:color w:val="000000" w:themeColor="text1"/>
                <w:sz w:val="21"/>
                <w:szCs w:val="21"/>
              </w:rPr>
              <w:t>Las herramientas tecnológicas que utiliza el profesorado…</w:t>
            </w:r>
          </w:p>
        </w:tc>
        <w:tc>
          <w:tcPr>
            <w:tcW w:w="2420" w:type="dxa"/>
            <w:tcBorders>
              <w:top w:val="single" w:sz="4" w:space="0" w:color="auto"/>
              <w:bottom w:val="nil"/>
            </w:tcBorders>
            <w:vAlign w:val="bottom"/>
          </w:tcPr>
          <w:p w14:paraId="25BBFDBE"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Son variadas</w:t>
            </w:r>
          </w:p>
        </w:tc>
        <w:tc>
          <w:tcPr>
            <w:tcW w:w="992" w:type="dxa"/>
            <w:tcBorders>
              <w:top w:val="single" w:sz="4" w:space="0" w:color="auto"/>
              <w:bottom w:val="nil"/>
            </w:tcBorders>
            <w:vAlign w:val="bottom"/>
          </w:tcPr>
          <w:p w14:paraId="38022456"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4,1</w:t>
            </w:r>
          </w:p>
        </w:tc>
        <w:tc>
          <w:tcPr>
            <w:tcW w:w="992" w:type="dxa"/>
            <w:tcBorders>
              <w:top w:val="single" w:sz="4" w:space="0" w:color="auto"/>
              <w:bottom w:val="nil"/>
            </w:tcBorders>
            <w:vAlign w:val="bottom"/>
          </w:tcPr>
          <w:p w14:paraId="4538C791"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14,8</w:t>
            </w:r>
          </w:p>
        </w:tc>
        <w:tc>
          <w:tcPr>
            <w:tcW w:w="1134" w:type="dxa"/>
            <w:tcBorders>
              <w:top w:val="single" w:sz="4" w:space="0" w:color="auto"/>
              <w:bottom w:val="nil"/>
            </w:tcBorders>
            <w:vAlign w:val="bottom"/>
          </w:tcPr>
          <w:p w14:paraId="2E4CD4BA"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26,5</w:t>
            </w:r>
          </w:p>
        </w:tc>
        <w:tc>
          <w:tcPr>
            <w:tcW w:w="901" w:type="dxa"/>
            <w:tcBorders>
              <w:top w:val="single" w:sz="4" w:space="0" w:color="auto"/>
              <w:bottom w:val="nil"/>
            </w:tcBorders>
            <w:vAlign w:val="bottom"/>
          </w:tcPr>
          <w:p w14:paraId="5489AF3F"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14,6</w:t>
            </w:r>
          </w:p>
        </w:tc>
        <w:tc>
          <w:tcPr>
            <w:tcW w:w="1185" w:type="dxa"/>
            <w:tcBorders>
              <w:top w:val="single" w:sz="4" w:space="0" w:color="auto"/>
              <w:bottom w:val="nil"/>
            </w:tcBorders>
            <w:vAlign w:val="bottom"/>
          </w:tcPr>
          <w:p w14:paraId="4114EF42"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7,2</w:t>
            </w:r>
          </w:p>
        </w:tc>
      </w:tr>
      <w:tr w:rsidR="00C93CDF" w:rsidRPr="005C6FBD" w14:paraId="5C5BEFBE" w14:textId="77777777" w:rsidTr="005C6FBD">
        <w:trPr>
          <w:trHeight w:val="345"/>
        </w:trPr>
        <w:tc>
          <w:tcPr>
            <w:tcW w:w="1408" w:type="dxa"/>
            <w:vMerge/>
            <w:tcBorders>
              <w:top w:val="nil"/>
              <w:bottom w:val="nil"/>
            </w:tcBorders>
            <w:vAlign w:val="center"/>
          </w:tcPr>
          <w:p w14:paraId="330BC054" w14:textId="77777777" w:rsidR="00C93CDF" w:rsidRPr="005C6FBD" w:rsidRDefault="00C93CDF" w:rsidP="005C6FBD">
            <w:pPr>
              <w:rPr>
                <w:rFonts w:ascii="Times New Roman" w:hAnsi="Times New Roman"/>
                <w:sz w:val="21"/>
                <w:szCs w:val="21"/>
              </w:rPr>
            </w:pPr>
          </w:p>
        </w:tc>
        <w:tc>
          <w:tcPr>
            <w:tcW w:w="2420" w:type="dxa"/>
            <w:tcBorders>
              <w:top w:val="nil"/>
              <w:bottom w:val="nil"/>
            </w:tcBorders>
            <w:vAlign w:val="bottom"/>
          </w:tcPr>
          <w:p w14:paraId="64DE2FAE"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Favorecen mi aprendizaje</w:t>
            </w:r>
          </w:p>
        </w:tc>
        <w:tc>
          <w:tcPr>
            <w:tcW w:w="992" w:type="dxa"/>
            <w:tcBorders>
              <w:top w:val="nil"/>
              <w:bottom w:val="nil"/>
            </w:tcBorders>
            <w:vAlign w:val="bottom"/>
          </w:tcPr>
          <w:p w14:paraId="3AD805E5"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2,6</w:t>
            </w:r>
          </w:p>
        </w:tc>
        <w:tc>
          <w:tcPr>
            <w:tcW w:w="992" w:type="dxa"/>
            <w:tcBorders>
              <w:top w:val="nil"/>
              <w:bottom w:val="nil"/>
            </w:tcBorders>
            <w:vAlign w:val="bottom"/>
          </w:tcPr>
          <w:p w14:paraId="0C66FA50"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11,1</w:t>
            </w:r>
          </w:p>
        </w:tc>
        <w:tc>
          <w:tcPr>
            <w:tcW w:w="1134" w:type="dxa"/>
            <w:tcBorders>
              <w:top w:val="nil"/>
              <w:bottom w:val="nil"/>
            </w:tcBorders>
            <w:vAlign w:val="bottom"/>
          </w:tcPr>
          <w:p w14:paraId="659D738D"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27,8</w:t>
            </w:r>
          </w:p>
        </w:tc>
        <w:tc>
          <w:tcPr>
            <w:tcW w:w="901" w:type="dxa"/>
            <w:tcBorders>
              <w:top w:val="nil"/>
              <w:bottom w:val="nil"/>
            </w:tcBorders>
            <w:vAlign w:val="bottom"/>
          </w:tcPr>
          <w:p w14:paraId="6466D3AB"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16,1</w:t>
            </w:r>
          </w:p>
        </w:tc>
        <w:tc>
          <w:tcPr>
            <w:tcW w:w="1185" w:type="dxa"/>
            <w:tcBorders>
              <w:top w:val="nil"/>
              <w:bottom w:val="nil"/>
            </w:tcBorders>
            <w:vAlign w:val="bottom"/>
          </w:tcPr>
          <w:p w14:paraId="57D33317"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9,6</w:t>
            </w:r>
          </w:p>
        </w:tc>
      </w:tr>
      <w:tr w:rsidR="00C93CDF" w:rsidRPr="005C6FBD" w14:paraId="3AA0C7D8" w14:textId="77777777" w:rsidTr="005C6FBD">
        <w:trPr>
          <w:trHeight w:val="1320"/>
        </w:trPr>
        <w:tc>
          <w:tcPr>
            <w:tcW w:w="1408" w:type="dxa"/>
            <w:vMerge/>
            <w:tcBorders>
              <w:top w:val="nil"/>
              <w:bottom w:val="single" w:sz="4" w:space="0" w:color="auto"/>
            </w:tcBorders>
            <w:vAlign w:val="center"/>
          </w:tcPr>
          <w:p w14:paraId="4E092590" w14:textId="77777777" w:rsidR="00C93CDF" w:rsidRPr="005C6FBD" w:rsidRDefault="00C93CDF" w:rsidP="005C6FBD">
            <w:pPr>
              <w:rPr>
                <w:rFonts w:ascii="Times New Roman" w:hAnsi="Times New Roman"/>
                <w:sz w:val="21"/>
                <w:szCs w:val="21"/>
              </w:rPr>
            </w:pPr>
          </w:p>
        </w:tc>
        <w:tc>
          <w:tcPr>
            <w:tcW w:w="2420" w:type="dxa"/>
            <w:tcBorders>
              <w:top w:val="nil"/>
              <w:bottom w:val="single" w:sz="4" w:space="0" w:color="auto"/>
            </w:tcBorders>
            <w:vAlign w:val="bottom"/>
          </w:tcPr>
          <w:p w14:paraId="4FF2E179"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Favorecen el desarrollo de mis competencias necesarias para el mercado laboral</w:t>
            </w:r>
          </w:p>
        </w:tc>
        <w:tc>
          <w:tcPr>
            <w:tcW w:w="992" w:type="dxa"/>
            <w:tcBorders>
              <w:top w:val="nil"/>
              <w:bottom w:val="single" w:sz="4" w:space="0" w:color="auto"/>
            </w:tcBorders>
            <w:vAlign w:val="bottom"/>
          </w:tcPr>
          <w:p w14:paraId="33C0C8D5"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3,5</w:t>
            </w:r>
          </w:p>
        </w:tc>
        <w:tc>
          <w:tcPr>
            <w:tcW w:w="992" w:type="dxa"/>
            <w:tcBorders>
              <w:top w:val="nil"/>
              <w:bottom w:val="single" w:sz="4" w:space="0" w:color="auto"/>
            </w:tcBorders>
            <w:vAlign w:val="bottom"/>
          </w:tcPr>
          <w:p w14:paraId="05E5601C"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10,7</w:t>
            </w:r>
          </w:p>
        </w:tc>
        <w:tc>
          <w:tcPr>
            <w:tcW w:w="1134" w:type="dxa"/>
            <w:tcBorders>
              <w:top w:val="nil"/>
              <w:bottom w:val="single" w:sz="4" w:space="0" w:color="auto"/>
            </w:tcBorders>
            <w:vAlign w:val="bottom"/>
          </w:tcPr>
          <w:p w14:paraId="4BA4C5A6"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28,3</w:t>
            </w:r>
          </w:p>
        </w:tc>
        <w:tc>
          <w:tcPr>
            <w:tcW w:w="901" w:type="dxa"/>
            <w:tcBorders>
              <w:top w:val="nil"/>
              <w:bottom w:val="single" w:sz="4" w:space="0" w:color="auto"/>
            </w:tcBorders>
            <w:vAlign w:val="bottom"/>
          </w:tcPr>
          <w:p w14:paraId="0B3F42FB"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15,4</w:t>
            </w:r>
          </w:p>
        </w:tc>
        <w:tc>
          <w:tcPr>
            <w:tcW w:w="1185" w:type="dxa"/>
            <w:tcBorders>
              <w:top w:val="nil"/>
              <w:bottom w:val="single" w:sz="4" w:space="0" w:color="auto"/>
            </w:tcBorders>
            <w:vAlign w:val="bottom"/>
          </w:tcPr>
          <w:p w14:paraId="14F94A36"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9,3</w:t>
            </w:r>
          </w:p>
        </w:tc>
      </w:tr>
      <w:tr w:rsidR="00C93CDF" w:rsidRPr="005C6FBD" w14:paraId="6E085657" w14:textId="77777777" w:rsidTr="005C6FBD">
        <w:trPr>
          <w:trHeight w:val="1020"/>
        </w:trPr>
        <w:tc>
          <w:tcPr>
            <w:tcW w:w="1408" w:type="dxa"/>
            <w:vMerge w:val="restart"/>
            <w:tcBorders>
              <w:top w:val="single" w:sz="4" w:space="0" w:color="auto"/>
            </w:tcBorders>
            <w:vAlign w:val="center"/>
          </w:tcPr>
          <w:p w14:paraId="451F7539" w14:textId="77777777" w:rsidR="00C93CDF" w:rsidRPr="005C6FBD" w:rsidRDefault="00C93CDF" w:rsidP="005C6FBD">
            <w:pPr>
              <w:jc w:val="center"/>
              <w:rPr>
                <w:rFonts w:ascii="Times New Roman" w:hAnsi="Times New Roman"/>
                <w:color w:val="000000" w:themeColor="text1"/>
                <w:sz w:val="21"/>
                <w:szCs w:val="21"/>
              </w:rPr>
            </w:pPr>
            <w:r w:rsidRPr="005C6FBD">
              <w:rPr>
                <w:rFonts w:ascii="Times New Roman" w:hAnsi="Times New Roman"/>
                <w:color w:val="000000" w:themeColor="text1"/>
                <w:sz w:val="21"/>
                <w:szCs w:val="21"/>
              </w:rPr>
              <w:t>En los módulos…</w:t>
            </w:r>
          </w:p>
        </w:tc>
        <w:tc>
          <w:tcPr>
            <w:tcW w:w="2420" w:type="dxa"/>
            <w:tcBorders>
              <w:top w:val="single" w:sz="4" w:space="0" w:color="auto"/>
            </w:tcBorders>
            <w:vAlign w:val="bottom"/>
          </w:tcPr>
          <w:p w14:paraId="62E0D7AF"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Desarrollo competencias que favorecen mi capacidad de adaptación.</w:t>
            </w:r>
          </w:p>
        </w:tc>
        <w:tc>
          <w:tcPr>
            <w:tcW w:w="992" w:type="dxa"/>
            <w:tcBorders>
              <w:top w:val="single" w:sz="4" w:space="0" w:color="auto"/>
            </w:tcBorders>
            <w:vAlign w:val="bottom"/>
          </w:tcPr>
          <w:p w14:paraId="66BF3574"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3,0</w:t>
            </w:r>
          </w:p>
        </w:tc>
        <w:tc>
          <w:tcPr>
            <w:tcW w:w="992" w:type="dxa"/>
            <w:tcBorders>
              <w:top w:val="single" w:sz="4" w:space="0" w:color="auto"/>
            </w:tcBorders>
            <w:vAlign w:val="bottom"/>
          </w:tcPr>
          <w:p w14:paraId="50729E06"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9,3</w:t>
            </w:r>
          </w:p>
        </w:tc>
        <w:tc>
          <w:tcPr>
            <w:tcW w:w="1134" w:type="dxa"/>
            <w:tcBorders>
              <w:top w:val="single" w:sz="4" w:space="0" w:color="auto"/>
            </w:tcBorders>
            <w:vAlign w:val="bottom"/>
          </w:tcPr>
          <w:p w14:paraId="582521D2"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27,8</w:t>
            </w:r>
          </w:p>
        </w:tc>
        <w:tc>
          <w:tcPr>
            <w:tcW w:w="901" w:type="dxa"/>
            <w:tcBorders>
              <w:top w:val="single" w:sz="4" w:space="0" w:color="auto"/>
            </w:tcBorders>
            <w:vAlign w:val="bottom"/>
          </w:tcPr>
          <w:p w14:paraId="238F66BC"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17,8</w:t>
            </w:r>
          </w:p>
        </w:tc>
        <w:tc>
          <w:tcPr>
            <w:tcW w:w="1185" w:type="dxa"/>
            <w:tcBorders>
              <w:top w:val="single" w:sz="4" w:space="0" w:color="auto"/>
            </w:tcBorders>
            <w:vAlign w:val="bottom"/>
          </w:tcPr>
          <w:p w14:paraId="4F64EDEC"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9,1</w:t>
            </w:r>
          </w:p>
        </w:tc>
      </w:tr>
      <w:tr w:rsidR="00C93CDF" w:rsidRPr="005C6FBD" w14:paraId="44625776" w14:textId="77777777" w:rsidTr="00D4774A">
        <w:trPr>
          <w:trHeight w:val="1320"/>
        </w:trPr>
        <w:tc>
          <w:tcPr>
            <w:tcW w:w="1408" w:type="dxa"/>
            <w:vMerge/>
            <w:vAlign w:val="center"/>
          </w:tcPr>
          <w:p w14:paraId="50E53F1E" w14:textId="77777777" w:rsidR="00C93CDF" w:rsidRPr="005C6FBD" w:rsidRDefault="00C93CDF" w:rsidP="005C6FBD">
            <w:pPr>
              <w:rPr>
                <w:rFonts w:ascii="Times New Roman" w:hAnsi="Times New Roman"/>
                <w:sz w:val="21"/>
                <w:szCs w:val="21"/>
              </w:rPr>
            </w:pPr>
          </w:p>
        </w:tc>
        <w:tc>
          <w:tcPr>
            <w:tcW w:w="2420" w:type="dxa"/>
            <w:vAlign w:val="bottom"/>
          </w:tcPr>
          <w:p w14:paraId="05B330F4"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Desarrollo competencias que promueven mi autonomía como estudiante.</w:t>
            </w:r>
          </w:p>
        </w:tc>
        <w:tc>
          <w:tcPr>
            <w:tcW w:w="992" w:type="dxa"/>
            <w:vAlign w:val="bottom"/>
          </w:tcPr>
          <w:p w14:paraId="4669A5F4"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2,4</w:t>
            </w:r>
          </w:p>
        </w:tc>
        <w:tc>
          <w:tcPr>
            <w:tcW w:w="992" w:type="dxa"/>
            <w:vAlign w:val="bottom"/>
          </w:tcPr>
          <w:p w14:paraId="5E106D03"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7,4</w:t>
            </w:r>
          </w:p>
        </w:tc>
        <w:tc>
          <w:tcPr>
            <w:tcW w:w="1134" w:type="dxa"/>
            <w:vAlign w:val="bottom"/>
          </w:tcPr>
          <w:p w14:paraId="3732F118"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28,9</w:t>
            </w:r>
          </w:p>
        </w:tc>
        <w:tc>
          <w:tcPr>
            <w:tcW w:w="901" w:type="dxa"/>
            <w:vAlign w:val="bottom"/>
          </w:tcPr>
          <w:p w14:paraId="3857F9DD"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17,6</w:t>
            </w:r>
          </w:p>
        </w:tc>
        <w:tc>
          <w:tcPr>
            <w:tcW w:w="1185" w:type="dxa"/>
            <w:vAlign w:val="bottom"/>
          </w:tcPr>
          <w:p w14:paraId="22196C74"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10,9</w:t>
            </w:r>
          </w:p>
        </w:tc>
      </w:tr>
      <w:tr w:rsidR="00C93CDF" w:rsidRPr="005C6FBD" w14:paraId="52F96D05" w14:textId="77777777" w:rsidTr="00D4774A">
        <w:trPr>
          <w:trHeight w:val="1320"/>
        </w:trPr>
        <w:tc>
          <w:tcPr>
            <w:tcW w:w="1408" w:type="dxa"/>
            <w:vMerge/>
            <w:vAlign w:val="center"/>
          </w:tcPr>
          <w:p w14:paraId="0BC221FD" w14:textId="77777777" w:rsidR="00C93CDF" w:rsidRPr="005C6FBD" w:rsidRDefault="00C93CDF" w:rsidP="005C6FBD">
            <w:pPr>
              <w:rPr>
                <w:rFonts w:ascii="Times New Roman" w:hAnsi="Times New Roman"/>
                <w:sz w:val="21"/>
                <w:szCs w:val="21"/>
              </w:rPr>
            </w:pPr>
          </w:p>
        </w:tc>
        <w:tc>
          <w:tcPr>
            <w:tcW w:w="2420" w:type="dxa"/>
            <w:vAlign w:val="bottom"/>
          </w:tcPr>
          <w:p w14:paraId="319E8B67"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Se promueve habitualmente mi participación como estudiante.</w:t>
            </w:r>
          </w:p>
        </w:tc>
        <w:tc>
          <w:tcPr>
            <w:tcW w:w="992" w:type="dxa"/>
            <w:vAlign w:val="bottom"/>
          </w:tcPr>
          <w:p w14:paraId="2A56B381"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2,6</w:t>
            </w:r>
          </w:p>
        </w:tc>
        <w:tc>
          <w:tcPr>
            <w:tcW w:w="992" w:type="dxa"/>
            <w:vAlign w:val="bottom"/>
          </w:tcPr>
          <w:p w14:paraId="5B312178"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8,7</w:t>
            </w:r>
          </w:p>
        </w:tc>
        <w:tc>
          <w:tcPr>
            <w:tcW w:w="1134" w:type="dxa"/>
            <w:vAlign w:val="bottom"/>
          </w:tcPr>
          <w:p w14:paraId="06DDEEFC"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26,5</w:t>
            </w:r>
          </w:p>
        </w:tc>
        <w:tc>
          <w:tcPr>
            <w:tcW w:w="901" w:type="dxa"/>
            <w:vAlign w:val="bottom"/>
          </w:tcPr>
          <w:p w14:paraId="0B25ECBA"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18,5</w:t>
            </w:r>
          </w:p>
        </w:tc>
        <w:tc>
          <w:tcPr>
            <w:tcW w:w="1185" w:type="dxa"/>
            <w:vAlign w:val="bottom"/>
          </w:tcPr>
          <w:p w14:paraId="48F7515E"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10,9</w:t>
            </w:r>
          </w:p>
        </w:tc>
      </w:tr>
      <w:tr w:rsidR="00C93CDF" w:rsidRPr="005C6FBD" w14:paraId="57F0D046" w14:textId="77777777" w:rsidTr="00D4774A">
        <w:trPr>
          <w:trHeight w:val="1875"/>
        </w:trPr>
        <w:tc>
          <w:tcPr>
            <w:tcW w:w="1408" w:type="dxa"/>
            <w:vMerge/>
            <w:vAlign w:val="center"/>
          </w:tcPr>
          <w:p w14:paraId="45D84BE8" w14:textId="77777777" w:rsidR="00C93CDF" w:rsidRPr="005C6FBD" w:rsidRDefault="00C93CDF" w:rsidP="005C6FBD">
            <w:pPr>
              <w:rPr>
                <w:rFonts w:ascii="Times New Roman" w:hAnsi="Times New Roman"/>
                <w:sz w:val="21"/>
                <w:szCs w:val="21"/>
              </w:rPr>
            </w:pPr>
          </w:p>
        </w:tc>
        <w:tc>
          <w:tcPr>
            <w:tcW w:w="2420" w:type="dxa"/>
            <w:vAlign w:val="bottom"/>
          </w:tcPr>
          <w:p w14:paraId="15E4DD20"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Se proponen habitualmente trabajos para realizar en colaboración con estudiantes de otros módulos o ciclos.</w:t>
            </w:r>
          </w:p>
        </w:tc>
        <w:tc>
          <w:tcPr>
            <w:tcW w:w="992" w:type="dxa"/>
            <w:vAlign w:val="bottom"/>
          </w:tcPr>
          <w:p w14:paraId="0803BFF0"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12,2</w:t>
            </w:r>
          </w:p>
        </w:tc>
        <w:tc>
          <w:tcPr>
            <w:tcW w:w="992" w:type="dxa"/>
            <w:vAlign w:val="bottom"/>
          </w:tcPr>
          <w:p w14:paraId="12E70D37"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12,6</w:t>
            </w:r>
          </w:p>
        </w:tc>
        <w:tc>
          <w:tcPr>
            <w:tcW w:w="1134" w:type="dxa"/>
            <w:vAlign w:val="bottom"/>
          </w:tcPr>
          <w:p w14:paraId="44F2C535"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23,5</w:t>
            </w:r>
          </w:p>
        </w:tc>
        <w:tc>
          <w:tcPr>
            <w:tcW w:w="901" w:type="dxa"/>
            <w:vAlign w:val="bottom"/>
          </w:tcPr>
          <w:p w14:paraId="30844E02"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11,1</w:t>
            </w:r>
          </w:p>
        </w:tc>
        <w:tc>
          <w:tcPr>
            <w:tcW w:w="1185" w:type="dxa"/>
            <w:vAlign w:val="bottom"/>
          </w:tcPr>
          <w:p w14:paraId="5EB16EB4"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7,8</w:t>
            </w:r>
          </w:p>
        </w:tc>
      </w:tr>
      <w:tr w:rsidR="00C93CDF" w:rsidRPr="005C6FBD" w14:paraId="1F60F84A" w14:textId="77777777" w:rsidTr="00D4774A">
        <w:trPr>
          <w:trHeight w:val="1050"/>
        </w:trPr>
        <w:tc>
          <w:tcPr>
            <w:tcW w:w="1408" w:type="dxa"/>
            <w:vMerge/>
            <w:vAlign w:val="center"/>
          </w:tcPr>
          <w:p w14:paraId="4C72E1F3" w14:textId="77777777" w:rsidR="00C93CDF" w:rsidRPr="005C6FBD" w:rsidRDefault="00C93CDF" w:rsidP="005C6FBD">
            <w:pPr>
              <w:rPr>
                <w:rFonts w:ascii="Times New Roman" w:hAnsi="Times New Roman"/>
                <w:sz w:val="21"/>
                <w:szCs w:val="21"/>
              </w:rPr>
            </w:pPr>
          </w:p>
        </w:tc>
        <w:tc>
          <w:tcPr>
            <w:tcW w:w="2420" w:type="dxa"/>
            <w:vAlign w:val="bottom"/>
          </w:tcPr>
          <w:p w14:paraId="6E52FCEB"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Aprendo más si se plantean de un modo flexible.</w:t>
            </w:r>
          </w:p>
        </w:tc>
        <w:tc>
          <w:tcPr>
            <w:tcW w:w="992" w:type="dxa"/>
            <w:vAlign w:val="bottom"/>
          </w:tcPr>
          <w:p w14:paraId="00BDB4D1"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2,6</w:t>
            </w:r>
          </w:p>
        </w:tc>
        <w:tc>
          <w:tcPr>
            <w:tcW w:w="992" w:type="dxa"/>
            <w:vAlign w:val="bottom"/>
          </w:tcPr>
          <w:p w14:paraId="08CE69B4"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7,2</w:t>
            </w:r>
          </w:p>
        </w:tc>
        <w:tc>
          <w:tcPr>
            <w:tcW w:w="1134" w:type="dxa"/>
            <w:vAlign w:val="bottom"/>
          </w:tcPr>
          <w:p w14:paraId="71B9E592"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26,7</w:t>
            </w:r>
          </w:p>
        </w:tc>
        <w:tc>
          <w:tcPr>
            <w:tcW w:w="901" w:type="dxa"/>
            <w:vAlign w:val="bottom"/>
          </w:tcPr>
          <w:p w14:paraId="03A90CD0"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20,4</w:t>
            </w:r>
          </w:p>
        </w:tc>
        <w:tc>
          <w:tcPr>
            <w:tcW w:w="1185" w:type="dxa"/>
            <w:vAlign w:val="bottom"/>
          </w:tcPr>
          <w:p w14:paraId="075D3FB0"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10,2</w:t>
            </w:r>
          </w:p>
        </w:tc>
      </w:tr>
      <w:tr w:rsidR="00C93CDF" w:rsidRPr="005C6FBD" w14:paraId="5BDB9E08" w14:textId="77777777" w:rsidTr="00D4774A">
        <w:trPr>
          <w:trHeight w:val="1050"/>
        </w:trPr>
        <w:tc>
          <w:tcPr>
            <w:tcW w:w="1408" w:type="dxa"/>
            <w:vMerge/>
            <w:vAlign w:val="center"/>
          </w:tcPr>
          <w:p w14:paraId="6621EEF2" w14:textId="77777777" w:rsidR="00C93CDF" w:rsidRPr="005C6FBD" w:rsidRDefault="00C93CDF" w:rsidP="005C6FBD">
            <w:pPr>
              <w:rPr>
                <w:rFonts w:ascii="Times New Roman" w:hAnsi="Times New Roman"/>
                <w:sz w:val="21"/>
                <w:szCs w:val="21"/>
              </w:rPr>
            </w:pPr>
          </w:p>
        </w:tc>
        <w:tc>
          <w:tcPr>
            <w:tcW w:w="2420" w:type="dxa"/>
            <w:vAlign w:val="bottom"/>
          </w:tcPr>
          <w:p w14:paraId="3ED89F5E" w14:textId="77777777" w:rsidR="00C93CDF" w:rsidRPr="005C6FBD" w:rsidRDefault="00C93CDF" w:rsidP="005C6FBD">
            <w:pPr>
              <w:rPr>
                <w:rFonts w:ascii="Times New Roman" w:hAnsi="Times New Roman"/>
                <w:color w:val="000000" w:themeColor="text1"/>
                <w:sz w:val="21"/>
                <w:szCs w:val="21"/>
              </w:rPr>
            </w:pPr>
            <w:r w:rsidRPr="005C6FBD">
              <w:rPr>
                <w:rFonts w:ascii="Times New Roman" w:hAnsi="Times New Roman"/>
                <w:color w:val="000000" w:themeColor="text1"/>
                <w:sz w:val="21"/>
                <w:szCs w:val="21"/>
              </w:rPr>
              <w:t>Aprendo más si puedo consultar recursos digitales antes de la clase.</w:t>
            </w:r>
          </w:p>
        </w:tc>
        <w:tc>
          <w:tcPr>
            <w:tcW w:w="992" w:type="dxa"/>
            <w:vAlign w:val="bottom"/>
          </w:tcPr>
          <w:p w14:paraId="1766B0BE"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3,9</w:t>
            </w:r>
          </w:p>
        </w:tc>
        <w:tc>
          <w:tcPr>
            <w:tcW w:w="992" w:type="dxa"/>
            <w:vAlign w:val="bottom"/>
          </w:tcPr>
          <w:p w14:paraId="59972976"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8,5</w:t>
            </w:r>
          </w:p>
        </w:tc>
        <w:tc>
          <w:tcPr>
            <w:tcW w:w="1134" w:type="dxa"/>
            <w:vAlign w:val="bottom"/>
          </w:tcPr>
          <w:p w14:paraId="171E75CD"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27,2</w:t>
            </w:r>
          </w:p>
        </w:tc>
        <w:tc>
          <w:tcPr>
            <w:tcW w:w="901" w:type="dxa"/>
            <w:vAlign w:val="bottom"/>
          </w:tcPr>
          <w:p w14:paraId="0699FC76"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17,8</w:t>
            </w:r>
          </w:p>
        </w:tc>
        <w:tc>
          <w:tcPr>
            <w:tcW w:w="1185" w:type="dxa"/>
            <w:vAlign w:val="bottom"/>
          </w:tcPr>
          <w:p w14:paraId="5C76FD2D" w14:textId="77777777" w:rsidR="00C93CDF" w:rsidRPr="005C6FBD" w:rsidRDefault="00C93CDF" w:rsidP="005C6FBD">
            <w:pPr>
              <w:jc w:val="right"/>
              <w:rPr>
                <w:rFonts w:ascii="Times New Roman" w:hAnsi="Times New Roman"/>
                <w:color w:val="000000" w:themeColor="text1"/>
                <w:sz w:val="21"/>
                <w:szCs w:val="21"/>
              </w:rPr>
            </w:pPr>
            <w:r w:rsidRPr="005C6FBD">
              <w:rPr>
                <w:rFonts w:ascii="Times New Roman" w:hAnsi="Times New Roman"/>
                <w:color w:val="000000" w:themeColor="text1"/>
                <w:sz w:val="21"/>
                <w:szCs w:val="21"/>
              </w:rPr>
              <w:t>9,8</w:t>
            </w:r>
          </w:p>
        </w:tc>
      </w:tr>
    </w:tbl>
    <w:p w14:paraId="4BAD9FE1" w14:textId="287AC4AC" w:rsidR="1CEEED8E" w:rsidRPr="005C6FBD" w:rsidRDefault="00C93CDF" w:rsidP="005C6FBD">
      <w:pPr>
        <w:spacing w:after="160" w:line="259" w:lineRule="auto"/>
        <w:rPr>
          <w:rFonts w:ascii="Times New Roman" w:hAnsi="Times New Roman"/>
          <w:sz w:val="24"/>
          <w:szCs w:val="24"/>
        </w:rPr>
      </w:pPr>
      <w:r w:rsidRPr="005C6FBD">
        <w:rPr>
          <w:rFonts w:ascii="Times New Roman" w:hAnsi="Times New Roman"/>
          <w:sz w:val="24"/>
          <w:szCs w:val="24"/>
        </w:rPr>
        <w:t>Fuente: elaboración propia.</w:t>
      </w:r>
    </w:p>
    <w:p w14:paraId="08D7CFC2" w14:textId="77777777" w:rsidR="00C93CDF" w:rsidRPr="005C6FBD" w:rsidRDefault="00C93CDF" w:rsidP="005C6FBD">
      <w:pPr>
        <w:spacing w:after="160" w:line="259" w:lineRule="auto"/>
        <w:rPr>
          <w:rFonts w:ascii="Times New Roman" w:hAnsi="Times New Roman"/>
          <w:sz w:val="24"/>
          <w:szCs w:val="24"/>
        </w:rPr>
      </w:pPr>
    </w:p>
    <w:p w14:paraId="5E6585AF" w14:textId="24220368" w:rsidR="7A5DE072" w:rsidRPr="005C6FBD" w:rsidRDefault="7A5DE072" w:rsidP="005C6FBD">
      <w:pPr>
        <w:spacing w:line="240" w:lineRule="auto"/>
        <w:jc w:val="both"/>
        <w:rPr>
          <w:rFonts w:ascii="Times New Roman" w:hAnsi="Times New Roman"/>
          <w:i/>
          <w:iCs/>
          <w:sz w:val="26"/>
          <w:szCs w:val="26"/>
        </w:rPr>
      </w:pPr>
      <w:r w:rsidRPr="005C6FBD">
        <w:rPr>
          <w:rFonts w:ascii="Times New Roman" w:hAnsi="Times New Roman"/>
          <w:b/>
          <w:bCs/>
          <w:i/>
          <w:iCs/>
          <w:sz w:val="26"/>
          <w:szCs w:val="26"/>
        </w:rPr>
        <w:t xml:space="preserve">1.5. Conclusiones y Discusión </w:t>
      </w:r>
    </w:p>
    <w:p w14:paraId="64886BB6" w14:textId="22E66557" w:rsidR="00D57FCD" w:rsidRPr="005C6FBD" w:rsidRDefault="763DA0C5" w:rsidP="005C6FBD">
      <w:pPr>
        <w:spacing w:line="240" w:lineRule="auto"/>
        <w:ind w:firstLine="284"/>
        <w:jc w:val="both"/>
        <w:rPr>
          <w:rFonts w:ascii="Times New Roman" w:hAnsi="Times New Roman"/>
          <w:sz w:val="24"/>
          <w:szCs w:val="24"/>
        </w:rPr>
      </w:pPr>
      <w:r w:rsidRPr="005C6FBD">
        <w:rPr>
          <w:rFonts w:ascii="Times New Roman" w:hAnsi="Times New Roman"/>
          <w:sz w:val="24"/>
          <w:szCs w:val="24"/>
        </w:rPr>
        <w:t xml:space="preserve">Una de las consecuencias de la COVID-19 en la educación y en la FP ha sido el impulso en la ya iniciada transformación y modernización de los procesos de enseñanza y aprendizaje y de una intensificación de la digitalización que, de una u otra forma, ya había comenzado y que había sido impulsada y recomendada por diferentes organismos internacionales para dar respuesta a los nuevos retos de las sociedades digitales (EU, 2020). En este sentido, el objetivo de este trabajo era </w:t>
      </w:r>
      <w:r w:rsidR="00C93CDF" w:rsidRPr="005C6FBD">
        <w:rPr>
          <w:rFonts w:ascii="Times New Roman" w:hAnsi="Times New Roman"/>
          <w:sz w:val="24"/>
          <w:szCs w:val="24"/>
        </w:rPr>
        <w:t>analizar los nuevos escenarios de digitalización e innovación docente en los centros de FP de Cataluña</w:t>
      </w:r>
      <w:r w:rsidR="00C93CDF" w:rsidRPr="005C6FBD">
        <w:rPr>
          <w:rFonts w:ascii="Times New Roman" w:hAnsi="Times New Roman"/>
          <w:sz w:val="24"/>
          <w:szCs w:val="24"/>
        </w:rPr>
        <w:t>, a través de</w:t>
      </w:r>
      <w:r w:rsidR="00C45F02" w:rsidRPr="005C6FBD">
        <w:rPr>
          <w:rFonts w:ascii="Times New Roman" w:hAnsi="Times New Roman"/>
          <w:sz w:val="24"/>
          <w:szCs w:val="24"/>
        </w:rPr>
        <w:t xml:space="preserve"> la frecuencia en el </w:t>
      </w:r>
      <w:r w:rsidR="00C93CDF" w:rsidRPr="005C6FBD">
        <w:rPr>
          <w:rFonts w:ascii="Times New Roman" w:hAnsi="Times New Roman"/>
          <w:sz w:val="24"/>
          <w:szCs w:val="24"/>
        </w:rPr>
        <w:t xml:space="preserve">uso de nuevas estrategias docentes y las percepciones de alumnado sobre estas. </w:t>
      </w:r>
      <w:r w:rsidR="00C45F02" w:rsidRPr="005C6FBD">
        <w:rPr>
          <w:rFonts w:ascii="Times New Roman" w:hAnsi="Times New Roman"/>
          <w:sz w:val="24"/>
          <w:szCs w:val="24"/>
        </w:rPr>
        <w:t>L</w:t>
      </w:r>
      <w:r w:rsidRPr="005C6FBD">
        <w:rPr>
          <w:rFonts w:ascii="Times New Roman" w:hAnsi="Times New Roman"/>
          <w:sz w:val="24"/>
          <w:szCs w:val="24"/>
        </w:rPr>
        <w:t>a encuesta del profesorado pone de manifiesto que se ha producido un incremento</w:t>
      </w:r>
      <w:r w:rsidR="00C45F02" w:rsidRPr="005C6FBD">
        <w:rPr>
          <w:rFonts w:ascii="Times New Roman" w:hAnsi="Times New Roman"/>
          <w:sz w:val="24"/>
          <w:szCs w:val="24"/>
        </w:rPr>
        <w:t xml:space="preserve">, respecto </w:t>
      </w:r>
      <w:r w:rsidRPr="005C6FBD">
        <w:rPr>
          <w:rFonts w:ascii="Times New Roman" w:hAnsi="Times New Roman"/>
          <w:sz w:val="24"/>
          <w:szCs w:val="24"/>
        </w:rPr>
        <w:t>en todas las estrategias docentes utilizadas (magistrales, situadas, autónomas y activas)</w:t>
      </w:r>
      <w:r w:rsidR="00C45F02" w:rsidRPr="005C6FBD">
        <w:rPr>
          <w:rFonts w:ascii="Times New Roman" w:hAnsi="Times New Roman"/>
          <w:sz w:val="24"/>
          <w:szCs w:val="24"/>
        </w:rPr>
        <w:t xml:space="preserve">, pero que las estrategias magistrales han disminuido su preponderancia en favor del incremento de las otras caracterizadas como </w:t>
      </w:r>
      <w:r w:rsidRPr="005C6FBD">
        <w:rPr>
          <w:rFonts w:ascii="Times New Roman" w:hAnsi="Times New Roman"/>
          <w:sz w:val="24"/>
          <w:szCs w:val="24"/>
        </w:rPr>
        <w:t xml:space="preserve">más </w:t>
      </w:r>
      <w:r w:rsidRPr="005C6FBD">
        <w:rPr>
          <w:rFonts w:ascii="Times New Roman" w:hAnsi="Times New Roman"/>
          <w:sz w:val="24"/>
          <w:szCs w:val="24"/>
        </w:rPr>
        <w:lastRenderedPageBreak/>
        <w:t>activas, autónomas o situadas. Por su parte, el alumnado valora también positivamente esta complementariedad y flexibilidad.</w:t>
      </w:r>
      <w:r w:rsidR="00C93CDF" w:rsidRPr="005C6FBD">
        <w:rPr>
          <w:rFonts w:ascii="Times New Roman" w:hAnsi="Times New Roman"/>
          <w:sz w:val="24"/>
          <w:szCs w:val="24"/>
        </w:rPr>
        <w:t xml:space="preserve"> </w:t>
      </w:r>
      <w:r w:rsidR="00C93CDF" w:rsidRPr="005C6FBD">
        <w:rPr>
          <w:rFonts w:ascii="Times New Roman" w:hAnsi="Times New Roman"/>
          <w:sz w:val="24"/>
          <w:szCs w:val="24"/>
        </w:rPr>
        <w:t xml:space="preserve">Este estudio contribuye a evidenciar que la FP está </w:t>
      </w:r>
      <w:r w:rsidR="0030782A" w:rsidRPr="005C6FBD">
        <w:rPr>
          <w:rFonts w:ascii="Times New Roman" w:hAnsi="Times New Roman"/>
          <w:sz w:val="24"/>
          <w:szCs w:val="24"/>
        </w:rPr>
        <w:t xml:space="preserve">inmersa </w:t>
      </w:r>
      <w:r w:rsidR="00C93CDF" w:rsidRPr="005C6FBD">
        <w:rPr>
          <w:rFonts w:ascii="Times New Roman" w:hAnsi="Times New Roman"/>
          <w:sz w:val="24"/>
          <w:szCs w:val="24"/>
        </w:rPr>
        <w:t>en un proceso de transformación que va en línea</w:t>
      </w:r>
      <w:r w:rsidR="00C45F02" w:rsidRPr="005C6FBD">
        <w:rPr>
          <w:rFonts w:ascii="Times New Roman" w:hAnsi="Times New Roman"/>
          <w:sz w:val="24"/>
          <w:szCs w:val="24"/>
        </w:rPr>
        <w:t xml:space="preserve"> con los desafíos señalados por la </w:t>
      </w:r>
      <w:r w:rsidR="00C45F02" w:rsidRPr="005C6FBD">
        <w:rPr>
          <w:rFonts w:ascii="Times New Roman" w:hAnsi="Times New Roman"/>
          <w:sz w:val="24"/>
          <w:szCs w:val="24"/>
        </w:rPr>
        <w:t>UNESCO</w:t>
      </w:r>
      <w:r w:rsidR="00C45F02" w:rsidRPr="005C6FBD">
        <w:rPr>
          <w:rFonts w:ascii="Times New Roman" w:hAnsi="Times New Roman"/>
          <w:sz w:val="24"/>
          <w:szCs w:val="24"/>
        </w:rPr>
        <w:t xml:space="preserve"> (</w:t>
      </w:r>
      <w:r w:rsidR="00C45F02" w:rsidRPr="005C6FBD">
        <w:rPr>
          <w:rFonts w:ascii="Times New Roman" w:hAnsi="Times New Roman"/>
          <w:sz w:val="24"/>
          <w:szCs w:val="24"/>
        </w:rPr>
        <w:t>2020)</w:t>
      </w:r>
      <w:r w:rsidR="00C45F02" w:rsidRPr="005C6FBD">
        <w:rPr>
          <w:rFonts w:ascii="Times New Roman" w:hAnsi="Times New Roman"/>
          <w:sz w:val="24"/>
          <w:szCs w:val="24"/>
        </w:rPr>
        <w:t xml:space="preserve"> y </w:t>
      </w:r>
      <w:proofErr w:type="spellStart"/>
      <w:r w:rsidR="00C45F02" w:rsidRPr="005C6FBD">
        <w:rPr>
          <w:rFonts w:ascii="Times New Roman" w:hAnsi="Times New Roman"/>
          <w:sz w:val="24"/>
          <w:szCs w:val="24"/>
        </w:rPr>
        <w:t>Cedefop</w:t>
      </w:r>
      <w:proofErr w:type="spellEnd"/>
      <w:r w:rsidR="00C45F02" w:rsidRPr="005C6FBD">
        <w:rPr>
          <w:rFonts w:ascii="Times New Roman" w:hAnsi="Times New Roman"/>
          <w:sz w:val="24"/>
          <w:szCs w:val="24"/>
        </w:rPr>
        <w:t xml:space="preserve"> (</w:t>
      </w:r>
      <w:r w:rsidR="00C45F02" w:rsidRPr="005C6FBD">
        <w:rPr>
          <w:rFonts w:ascii="Times New Roman" w:hAnsi="Times New Roman"/>
          <w:sz w:val="24"/>
          <w:szCs w:val="24"/>
        </w:rPr>
        <w:t>2022)</w:t>
      </w:r>
      <w:r w:rsidR="0030782A" w:rsidRPr="005C6FBD">
        <w:rPr>
          <w:rFonts w:ascii="Times New Roman" w:hAnsi="Times New Roman"/>
          <w:sz w:val="24"/>
          <w:szCs w:val="24"/>
        </w:rPr>
        <w:t>. En este</w:t>
      </w:r>
      <w:r w:rsidR="00D57FCD" w:rsidRPr="005C6FBD">
        <w:rPr>
          <w:rFonts w:ascii="Times New Roman" w:hAnsi="Times New Roman"/>
          <w:sz w:val="24"/>
          <w:szCs w:val="24"/>
        </w:rPr>
        <w:t xml:space="preserve"> proceso</w:t>
      </w:r>
      <w:r w:rsidR="0030782A" w:rsidRPr="005C6FBD">
        <w:rPr>
          <w:rFonts w:ascii="Times New Roman" w:hAnsi="Times New Roman"/>
          <w:sz w:val="24"/>
          <w:szCs w:val="24"/>
        </w:rPr>
        <w:t>, la digitalización e innovación son uno de los pilares para el nuevo sentido de las organizaciones, y en particular</w:t>
      </w:r>
      <w:r w:rsidR="00D57FCD" w:rsidRPr="005C6FBD">
        <w:rPr>
          <w:rFonts w:ascii="Times New Roman" w:hAnsi="Times New Roman"/>
          <w:sz w:val="24"/>
          <w:szCs w:val="24"/>
        </w:rPr>
        <w:t>, para la renovación de las instituciones de educación superior</w:t>
      </w:r>
      <w:r w:rsidR="0030782A" w:rsidRPr="005C6FBD">
        <w:rPr>
          <w:rFonts w:ascii="Times New Roman" w:hAnsi="Times New Roman"/>
          <w:sz w:val="24"/>
          <w:szCs w:val="24"/>
        </w:rPr>
        <w:t xml:space="preserve">. </w:t>
      </w:r>
    </w:p>
    <w:p w14:paraId="4A59BBFC" w14:textId="008A295A" w:rsidR="00423E1C" w:rsidRPr="005C6FBD" w:rsidRDefault="2689E3B7" w:rsidP="005C6FBD">
      <w:pPr>
        <w:spacing w:line="240" w:lineRule="auto"/>
        <w:jc w:val="both"/>
        <w:rPr>
          <w:rFonts w:ascii="Times New Roman" w:hAnsi="Times New Roman"/>
          <w:sz w:val="24"/>
          <w:szCs w:val="24"/>
          <w:lang w:val="en-US"/>
        </w:rPr>
      </w:pPr>
      <w:r w:rsidRPr="005C6FBD">
        <w:rPr>
          <w:rFonts w:ascii="Times New Roman" w:hAnsi="Times New Roman"/>
          <w:b/>
          <w:bCs/>
          <w:sz w:val="24"/>
          <w:szCs w:val="24"/>
        </w:rPr>
        <w:t xml:space="preserve">REFERENCIAS </w:t>
      </w:r>
    </w:p>
    <w:p w14:paraId="38E176DE" w14:textId="3C5BC9A8" w:rsidR="2689E3B7" w:rsidRPr="005C6FBD" w:rsidRDefault="2689E3B7" w:rsidP="005C6FBD">
      <w:pPr>
        <w:spacing w:after="160" w:line="240" w:lineRule="auto"/>
        <w:ind w:left="720" w:hanging="720"/>
        <w:rPr>
          <w:rFonts w:ascii="Times New Roman" w:hAnsi="Times New Roman"/>
          <w:sz w:val="24"/>
          <w:szCs w:val="24"/>
        </w:rPr>
      </w:pPr>
      <w:r w:rsidRPr="005C6FBD">
        <w:rPr>
          <w:rFonts w:ascii="Times New Roman" w:hAnsi="Times New Roman"/>
          <w:sz w:val="24"/>
          <w:szCs w:val="24"/>
        </w:rPr>
        <w:t xml:space="preserve">Calero López, I. y Rodríguez-López, B. (2020). </w:t>
      </w:r>
      <w:proofErr w:type="spellStart"/>
      <w:r w:rsidRPr="005C6FBD">
        <w:rPr>
          <w:rFonts w:ascii="Times New Roman" w:hAnsi="Times New Roman"/>
          <w:sz w:val="24"/>
          <w:szCs w:val="24"/>
        </w:rPr>
        <w:t>The</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relevance</w:t>
      </w:r>
      <w:proofErr w:type="spellEnd"/>
      <w:r w:rsidRPr="005C6FBD">
        <w:rPr>
          <w:rFonts w:ascii="Times New Roman" w:hAnsi="Times New Roman"/>
          <w:sz w:val="24"/>
          <w:szCs w:val="24"/>
        </w:rPr>
        <w:t xml:space="preserve"> of transversal </w:t>
      </w:r>
      <w:proofErr w:type="spellStart"/>
      <w:r w:rsidRPr="005C6FBD">
        <w:rPr>
          <w:rFonts w:ascii="Times New Roman" w:hAnsi="Times New Roman"/>
          <w:sz w:val="24"/>
          <w:szCs w:val="24"/>
        </w:rPr>
        <w:t>competences</w:t>
      </w:r>
      <w:proofErr w:type="spellEnd"/>
      <w:r w:rsidRPr="005C6FBD">
        <w:rPr>
          <w:rFonts w:ascii="Times New Roman" w:hAnsi="Times New Roman"/>
          <w:sz w:val="24"/>
          <w:szCs w:val="24"/>
        </w:rPr>
        <w:t xml:space="preserve"> in </w:t>
      </w:r>
      <w:proofErr w:type="spellStart"/>
      <w:r w:rsidRPr="005C6FBD">
        <w:rPr>
          <w:rFonts w:ascii="Times New Roman" w:hAnsi="Times New Roman"/>
          <w:sz w:val="24"/>
          <w:szCs w:val="24"/>
        </w:rPr>
        <w:t>vocational</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education</w:t>
      </w:r>
      <w:proofErr w:type="spellEnd"/>
      <w:r w:rsidRPr="005C6FBD">
        <w:rPr>
          <w:rFonts w:ascii="Times New Roman" w:hAnsi="Times New Roman"/>
          <w:sz w:val="24"/>
          <w:szCs w:val="24"/>
        </w:rPr>
        <w:t xml:space="preserve"> and training: A </w:t>
      </w:r>
      <w:proofErr w:type="spellStart"/>
      <w:r w:rsidRPr="005C6FBD">
        <w:rPr>
          <w:rFonts w:ascii="Times New Roman" w:hAnsi="Times New Roman"/>
          <w:sz w:val="24"/>
          <w:szCs w:val="24"/>
        </w:rPr>
        <w:t>bibliometric</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analysis</w:t>
      </w:r>
      <w:proofErr w:type="spellEnd"/>
      <w:r w:rsidRPr="005C6FBD">
        <w:rPr>
          <w:rFonts w:ascii="Times New Roman" w:hAnsi="Times New Roman"/>
          <w:sz w:val="24"/>
          <w:szCs w:val="24"/>
        </w:rPr>
        <w:t xml:space="preserve">. </w:t>
      </w:r>
      <w:proofErr w:type="spellStart"/>
      <w:r w:rsidRPr="005C6FBD">
        <w:rPr>
          <w:rFonts w:ascii="Times New Roman" w:hAnsi="Times New Roman"/>
          <w:i/>
          <w:iCs/>
          <w:sz w:val="24"/>
          <w:szCs w:val="24"/>
        </w:rPr>
        <w:t>Empirical</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Research</w:t>
      </w:r>
      <w:proofErr w:type="spellEnd"/>
      <w:r w:rsidRPr="005C6FBD">
        <w:rPr>
          <w:rFonts w:ascii="Times New Roman" w:hAnsi="Times New Roman"/>
          <w:i/>
          <w:iCs/>
          <w:sz w:val="24"/>
          <w:szCs w:val="24"/>
        </w:rPr>
        <w:t xml:space="preserve"> in </w:t>
      </w:r>
      <w:proofErr w:type="spellStart"/>
      <w:r w:rsidRPr="005C6FBD">
        <w:rPr>
          <w:rFonts w:ascii="Times New Roman" w:hAnsi="Times New Roman"/>
          <w:i/>
          <w:iCs/>
          <w:sz w:val="24"/>
          <w:szCs w:val="24"/>
        </w:rPr>
        <w:t>Vocational</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Education</w:t>
      </w:r>
      <w:proofErr w:type="spellEnd"/>
      <w:r w:rsidRPr="005C6FBD">
        <w:rPr>
          <w:rFonts w:ascii="Times New Roman" w:hAnsi="Times New Roman"/>
          <w:i/>
          <w:iCs/>
          <w:sz w:val="24"/>
          <w:szCs w:val="24"/>
        </w:rPr>
        <w:t xml:space="preserve"> and Training</w:t>
      </w:r>
      <w:r w:rsidRPr="005C6FBD">
        <w:rPr>
          <w:rFonts w:ascii="Times New Roman" w:hAnsi="Times New Roman"/>
          <w:sz w:val="24"/>
          <w:szCs w:val="24"/>
        </w:rPr>
        <w:t xml:space="preserve">, </w:t>
      </w:r>
      <w:r w:rsidRPr="005C6FBD">
        <w:rPr>
          <w:rFonts w:ascii="Times New Roman" w:hAnsi="Times New Roman"/>
          <w:i/>
          <w:iCs/>
          <w:sz w:val="24"/>
          <w:szCs w:val="24"/>
        </w:rPr>
        <w:t>12</w:t>
      </w:r>
      <w:r w:rsidRPr="005C6FBD">
        <w:rPr>
          <w:rFonts w:ascii="Times New Roman" w:hAnsi="Times New Roman"/>
          <w:sz w:val="24"/>
          <w:szCs w:val="24"/>
        </w:rPr>
        <w:t xml:space="preserve">(1), 12. </w:t>
      </w:r>
      <w:hyperlink r:id="rId9">
        <w:r w:rsidRPr="005C6FBD">
          <w:rPr>
            <w:rStyle w:val="Hipervnculo"/>
            <w:rFonts w:ascii="Times New Roman" w:hAnsi="Times New Roman"/>
            <w:sz w:val="24"/>
            <w:szCs w:val="24"/>
          </w:rPr>
          <w:t>https://doi.org/10.1186/s40461-020-00100-0</w:t>
        </w:r>
      </w:hyperlink>
    </w:p>
    <w:p w14:paraId="3C37C692" w14:textId="49C883A3" w:rsidR="2689E3B7" w:rsidRPr="005C6FBD" w:rsidRDefault="2689E3B7" w:rsidP="005C6FBD">
      <w:pPr>
        <w:spacing w:after="160" w:line="240" w:lineRule="auto"/>
        <w:ind w:left="720" w:hanging="720"/>
        <w:rPr>
          <w:rFonts w:ascii="Times New Roman" w:hAnsi="Times New Roman"/>
          <w:sz w:val="24"/>
          <w:szCs w:val="24"/>
        </w:rPr>
      </w:pPr>
      <w:proofErr w:type="spellStart"/>
      <w:r w:rsidRPr="005C6FBD">
        <w:rPr>
          <w:rFonts w:ascii="Times New Roman" w:hAnsi="Times New Roman"/>
          <w:sz w:val="24"/>
          <w:szCs w:val="24"/>
        </w:rPr>
        <w:t>Cedefop</w:t>
      </w:r>
      <w:proofErr w:type="spellEnd"/>
      <w:r w:rsidRPr="005C6FBD">
        <w:rPr>
          <w:rFonts w:ascii="Times New Roman" w:hAnsi="Times New Roman"/>
          <w:sz w:val="24"/>
          <w:szCs w:val="24"/>
        </w:rPr>
        <w:t xml:space="preserve"> (2022). </w:t>
      </w:r>
      <w:proofErr w:type="spellStart"/>
      <w:r w:rsidRPr="005C6FBD">
        <w:rPr>
          <w:rFonts w:ascii="Times New Roman" w:hAnsi="Times New Roman"/>
          <w:i/>
          <w:iCs/>
          <w:sz w:val="24"/>
          <w:szCs w:val="24"/>
        </w:rPr>
        <w:t>The</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future</w:t>
      </w:r>
      <w:proofErr w:type="spellEnd"/>
      <w:r w:rsidRPr="005C6FBD">
        <w:rPr>
          <w:rFonts w:ascii="Times New Roman" w:hAnsi="Times New Roman"/>
          <w:i/>
          <w:iCs/>
          <w:sz w:val="24"/>
          <w:szCs w:val="24"/>
        </w:rPr>
        <w:t xml:space="preserve"> of </w:t>
      </w:r>
      <w:proofErr w:type="spellStart"/>
      <w:r w:rsidRPr="005C6FBD">
        <w:rPr>
          <w:rFonts w:ascii="Times New Roman" w:hAnsi="Times New Roman"/>
          <w:i/>
          <w:iCs/>
          <w:sz w:val="24"/>
          <w:szCs w:val="24"/>
        </w:rPr>
        <w:t>vocational</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education</w:t>
      </w:r>
      <w:proofErr w:type="spellEnd"/>
      <w:r w:rsidRPr="005C6FBD">
        <w:rPr>
          <w:rFonts w:ascii="Times New Roman" w:hAnsi="Times New Roman"/>
          <w:i/>
          <w:iCs/>
          <w:sz w:val="24"/>
          <w:szCs w:val="24"/>
        </w:rPr>
        <w:t xml:space="preserve"> and training in </w:t>
      </w:r>
      <w:proofErr w:type="spellStart"/>
      <w:r w:rsidRPr="005C6FBD">
        <w:rPr>
          <w:rFonts w:ascii="Times New Roman" w:hAnsi="Times New Roman"/>
          <w:i/>
          <w:iCs/>
          <w:sz w:val="24"/>
          <w:szCs w:val="24"/>
        </w:rPr>
        <w:t>Europe</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The</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changing</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content</w:t>
      </w:r>
      <w:proofErr w:type="spellEnd"/>
      <w:r w:rsidRPr="005C6FBD">
        <w:rPr>
          <w:rFonts w:ascii="Times New Roman" w:hAnsi="Times New Roman"/>
          <w:i/>
          <w:iCs/>
          <w:sz w:val="24"/>
          <w:szCs w:val="24"/>
        </w:rPr>
        <w:t xml:space="preserve"> and </w:t>
      </w:r>
      <w:proofErr w:type="spellStart"/>
      <w:r w:rsidRPr="005C6FBD">
        <w:rPr>
          <w:rFonts w:ascii="Times New Roman" w:hAnsi="Times New Roman"/>
          <w:i/>
          <w:iCs/>
          <w:sz w:val="24"/>
          <w:szCs w:val="24"/>
        </w:rPr>
        <w:t>profile</w:t>
      </w:r>
      <w:proofErr w:type="spellEnd"/>
      <w:r w:rsidRPr="005C6FBD">
        <w:rPr>
          <w:rFonts w:ascii="Times New Roman" w:hAnsi="Times New Roman"/>
          <w:i/>
          <w:iCs/>
          <w:sz w:val="24"/>
          <w:szCs w:val="24"/>
        </w:rPr>
        <w:t xml:space="preserve"> of VET: </w:t>
      </w:r>
      <w:proofErr w:type="spellStart"/>
      <w:r w:rsidRPr="005C6FBD">
        <w:rPr>
          <w:rFonts w:ascii="Times New Roman" w:hAnsi="Times New Roman"/>
          <w:i/>
          <w:iCs/>
          <w:sz w:val="24"/>
          <w:szCs w:val="24"/>
        </w:rPr>
        <w:t>epistemological</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challenges</w:t>
      </w:r>
      <w:proofErr w:type="spellEnd"/>
      <w:r w:rsidRPr="005C6FBD">
        <w:rPr>
          <w:rFonts w:ascii="Times New Roman" w:hAnsi="Times New Roman"/>
          <w:i/>
          <w:iCs/>
          <w:sz w:val="24"/>
          <w:szCs w:val="24"/>
        </w:rPr>
        <w:t xml:space="preserve"> and </w:t>
      </w:r>
      <w:proofErr w:type="spellStart"/>
      <w:r w:rsidRPr="005C6FBD">
        <w:rPr>
          <w:rFonts w:ascii="Times New Roman" w:hAnsi="Times New Roman"/>
          <w:i/>
          <w:iCs/>
          <w:sz w:val="24"/>
          <w:szCs w:val="24"/>
        </w:rPr>
        <w:t>opportunities</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Volume</w:t>
      </w:r>
      <w:proofErr w:type="spellEnd"/>
      <w:r w:rsidRPr="005C6FBD">
        <w:rPr>
          <w:rFonts w:ascii="Times New Roman" w:hAnsi="Times New Roman"/>
          <w:sz w:val="24"/>
          <w:szCs w:val="24"/>
        </w:rPr>
        <w:t xml:space="preserve"> 1, 83. </w:t>
      </w:r>
      <w:proofErr w:type="spellStart"/>
      <w:r w:rsidRPr="005C6FBD">
        <w:rPr>
          <w:rFonts w:ascii="Times New Roman" w:hAnsi="Times New Roman"/>
          <w:sz w:val="24"/>
          <w:szCs w:val="24"/>
        </w:rPr>
        <w:t>Luxembourg</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Publications</w:t>
      </w:r>
      <w:proofErr w:type="spellEnd"/>
      <w:r w:rsidRPr="005C6FBD">
        <w:rPr>
          <w:rFonts w:ascii="Times New Roman" w:hAnsi="Times New Roman"/>
          <w:sz w:val="24"/>
          <w:szCs w:val="24"/>
        </w:rPr>
        <w:t xml:space="preserve"> Office of </w:t>
      </w:r>
      <w:proofErr w:type="spellStart"/>
      <w:r w:rsidRPr="005C6FBD">
        <w:rPr>
          <w:rFonts w:ascii="Times New Roman" w:hAnsi="Times New Roman"/>
          <w:sz w:val="24"/>
          <w:szCs w:val="24"/>
        </w:rPr>
        <w:t>the</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European</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Union</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Cedefop</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research</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paper</w:t>
      </w:r>
      <w:proofErr w:type="spellEnd"/>
      <w:r w:rsidRPr="005C6FBD">
        <w:rPr>
          <w:rFonts w:ascii="Times New Roman" w:hAnsi="Times New Roman"/>
          <w:sz w:val="24"/>
          <w:szCs w:val="24"/>
        </w:rPr>
        <w:t>.</w:t>
      </w:r>
      <w:r w:rsidRPr="005C6FBD">
        <w:rPr>
          <w:rFonts w:ascii="Times New Roman" w:hAnsi="Times New Roman"/>
          <w:color w:val="1E1919"/>
          <w:sz w:val="24"/>
          <w:szCs w:val="24"/>
        </w:rPr>
        <w:t xml:space="preserve"> </w:t>
      </w:r>
      <w:hyperlink r:id="rId10">
        <w:r w:rsidRPr="005C6FBD">
          <w:rPr>
            <w:rStyle w:val="Hipervnculo"/>
            <w:rFonts w:ascii="Times New Roman" w:hAnsi="Times New Roman"/>
            <w:sz w:val="24"/>
            <w:szCs w:val="24"/>
          </w:rPr>
          <w:t>https://data.europa.eu/doi/10.2801/215705</w:t>
        </w:r>
      </w:hyperlink>
    </w:p>
    <w:p w14:paraId="3890F6D9" w14:textId="42027395" w:rsidR="2689E3B7" w:rsidRPr="005C6FBD" w:rsidRDefault="7A5DE072" w:rsidP="005C6FBD">
      <w:pPr>
        <w:spacing w:after="160" w:line="240" w:lineRule="auto"/>
        <w:ind w:left="720" w:hanging="720"/>
        <w:rPr>
          <w:rFonts w:ascii="Times New Roman" w:hAnsi="Times New Roman"/>
          <w:sz w:val="24"/>
          <w:szCs w:val="24"/>
        </w:rPr>
      </w:pPr>
      <w:r w:rsidRPr="005C6FBD">
        <w:rPr>
          <w:rFonts w:ascii="Times New Roman" w:hAnsi="Times New Roman"/>
          <w:sz w:val="24"/>
          <w:szCs w:val="24"/>
          <w:lang w:val="en-GB"/>
        </w:rPr>
        <w:t xml:space="preserve">DGFPIERE. (2019). </w:t>
      </w:r>
      <w:proofErr w:type="spellStart"/>
      <w:r w:rsidRPr="005C6FBD">
        <w:rPr>
          <w:rFonts w:ascii="Times New Roman" w:hAnsi="Times New Roman"/>
          <w:i/>
          <w:iCs/>
          <w:sz w:val="24"/>
          <w:szCs w:val="24"/>
          <w:lang w:val="en-GB"/>
        </w:rPr>
        <w:t>Inserció</w:t>
      </w:r>
      <w:proofErr w:type="spellEnd"/>
      <w:r w:rsidRPr="005C6FBD">
        <w:rPr>
          <w:rFonts w:ascii="Times New Roman" w:hAnsi="Times New Roman"/>
          <w:i/>
          <w:iCs/>
          <w:sz w:val="24"/>
          <w:szCs w:val="24"/>
          <w:lang w:val="en-GB"/>
        </w:rPr>
        <w:t xml:space="preserve"> </w:t>
      </w:r>
      <w:proofErr w:type="spellStart"/>
      <w:r w:rsidRPr="005C6FBD">
        <w:rPr>
          <w:rFonts w:ascii="Times New Roman" w:hAnsi="Times New Roman"/>
          <w:i/>
          <w:iCs/>
          <w:sz w:val="24"/>
          <w:szCs w:val="24"/>
          <w:lang w:val="en-GB"/>
        </w:rPr>
        <w:t>laboral</w:t>
      </w:r>
      <w:proofErr w:type="spellEnd"/>
      <w:r w:rsidRPr="005C6FBD">
        <w:rPr>
          <w:rFonts w:ascii="Times New Roman" w:hAnsi="Times New Roman"/>
          <w:i/>
          <w:iCs/>
          <w:sz w:val="24"/>
          <w:szCs w:val="24"/>
          <w:lang w:val="en-GB"/>
        </w:rPr>
        <w:t xml:space="preserve"> </w:t>
      </w:r>
      <w:proofErr w:type="spellStart"/>
      <w:r w:rsidRPr="005C6FBD">
        <w:rPr>
          <w:rFonts w:ascii="Times New Roman" w:hAnsi="Times New Roman"/>
          <w:i/>
          <w:iCs/>
          <w:sz w:val="24"/>
          <w:szCs w:val="24"/>
          <w:lang w:val="en-GB"/>
        </w:rPr>
        <w:t>dels</w:t>
      </w:r>
      <w:proofErr w:type="spellEnd"/>
      <w:r w:rsidRPr="005C6FBD">
        <w:rPr>
          <w:rFonts w:ascii="Times New Roman" w:hAnsi="Times New Roman"/>
          <w:i/>
          <w:iCs/>
          <w:sz w:val="24"/>
          <w:szCs w:val="24"/>
          <w:lang w:val="en-GB"/>
        </w:rPr>
        <w:t xml:space="preserve"> </w:t>
      </w:r>
      <w:proofErr w:type="spellStart"/>
      <w:r w:rsidRPr="005C6FBD">
        <w:rPr>
          <w:rFonts w:ascii="Times New Roman" w:hAnsi="Times New Roman"/>
          <w:i/>
          <w:iCs/>
          <w:sz w:val="24"/>
          <w:szCs w:val="24"/>
          <w:lang w:val="en-GB"/>
        </w:rPr>
        <w:t>ensenyaments</w:t>
      </w:r>
      <w:proofErr w:type="spellEnd"/>
      <w:r w:rsidRPr="005C6FBD">
        <w:rPr>
          <w:rFonts w:ascii="Times New Roman" w:hAnsi="Times New Roman"/>
          <w:i/>
          <w:iCs/>
          <w:sz w:val="24"/>
          <w:szCs w:val="24"/>
          <w:lang w:val="en-GB"/>
        </w:rPr>
        <w:t xml:space="preserve"> professionals 2019</w:t>
      </w:r>
      <w:r w:rsidRPr="005C6FBD">
        <w:rPr>
          <w:rFonts w:ascii="Times New Roman" w:hAnsi="Times New Roman"/>
          <w:sz w:val="24"/>
          <w:szCs w:val="24"/>
          <w:lang w:val="en-GB"/>
        </w:rPr>
        <w:t xml:space="preserve">. </w:t>
      </w:r>
      <w:proofErr w:type="spellStart"/>
      <w:r w:rsidRPr="005C6FBD">
        <w:rPr>
          <w:rFonts w:ascii="Times New Roman" w:hAnsi="Times New Roman"/>
          <w:sz w:val="24"/>
          <w:szCs w:val="24"/>
          <w:lang w:val="en-GB"/>
        </w:rPr>
        <w:t>Gabinet</w:t>
      </w:r>
      <w:proofErr w:type="spellEnd"/>
      <w:r w:rsidRPr="005C6FBD">
        <w:rPr>
          <w:rFonts w:ascii="Times New Roman" w:hAnsi="Times New Roman"/>
          <w:color w:val="000000" w:themeColor="text1"/>
          <w:sz w:val="24"/>
          <w:szCs w:val="24"/>
          <w:lang w:val="en-GB"/>
        </w:rPr>
        <w:t xml:space="preserve"> </w:t>
      </w:r>
      <w:proofErr w:type="spellStart"/>
      <w:r w:rsidRPr="005C6FBD">
        <w:rPr>
          <w:rFonts w:ascii="Times New Roman" w:hAnsi="Times New Roman"/>
          <w:sz w:val="24"/>
          <w:szCs w:val="24"/>
          <w:lang w:val="en-GB"/>
        </w:rPr>
        <w:t>Tècnic</w:t>
      </w:r>
      <w:proofErr w:type="spellEnd"/>
      <w:r w:rsidRPr="005C6FBD">
        <w:rPr>
          <w:rFonts w:ascii="Times New Roman" w:hAnsi="Times New Roman"/>
          <w:sz w:val="24"/>
          <w:szCs w:val="24"/>
          <w:lang w:val="en-GB"/>
        </w:rPr>
        <w:t>.</w:t>
      </w:r>
      <w:r w:rsidRPr="005C6FBD">
        <w:rPr>
          <w:rFonts w:ascii="Times New Roman" w:hAnsi="Times New Roman"/>
          <w:color w:val="000000" w:themeColor="text1"/>
          <w:sz w:val="24"/>
          <w:szCs w:val="24"/>
          <w:lang w:val="en-GB"/>
        </w:rPr>
        <w:t xml:space="preserve"> </w:t>
      </w:r>
      <w:hyperlink r:id="rId11">
        <w:r w:rsidRPr="005C6FBD">
          <w:rPr>
            <w:rStyle w:val="Hipervnculo"/>
            <w:rFonts w:ascii="Times New Roman" w:hAnsi="Times New Roman"/>
            <w:sz w:val="24"/>
            <w:szCs w:val="24"/>
            <w:lang w:val="en-GB"/>
          </w:rPr>
          <w:t>http://ensenyament.gencat.cat/web/.content/home/departament/estadistiques/insercio-laboral/estadistica-insercio-laboral/insercio-laboral-2019.pdf</w:t>
        </w:r>
      </w:hyperlink>
    </w:p>
    <w:p w14:paraId="4EA6F525" w14:textId="755D82ED" w:rsidR="7A5DE072" w:rsidRPr="005C6FBD" w:rsidRDefault="7A5DE072" w:rsidP="005C6FBD">
      <w:pPr>
        <w:spacing w:after="160" w:line="240" w:lineRule="auto"/>
        <w:ind w:left="720" w:hanging="720"/>
        <w:rPr>
          <w:rFonts w:ascii="Times New Roman" w:hAnsi="Times New Roman"/>
          <w:color w:val="000000" w:themeColor="text1"/>
          <w:sz w:val="24"/>
          <w:szCs w:val="24"/>
          <w:lang w:val="en-US"/>
        </w:rPr>
      </w:pPr>
      <w:r w:rsidRPr="005C6FBD">
        <w:rPr>
          <w:rFonts w:ascii="Times New Roman" w:hAnsi="Times New Roman"/>
          <w:sz w:val="24"/>
          <w:szCs w:val="24"/>
          <w:lang w:val="en-GB"/>
        </w:rPr>
        <w:t xml:space="preserve">European Commission (2020). </w:t>
      </w:r>
      <w:r w:rsidRPr="005C6FBD">
        <w:rPr>
          <w:rFonts w:ascii="Times New Roman" w:hAnsi="Times New Roman"/>
          <w:i/>
          <w:iCs/>
          <w:color w:val="000000" w:themeColor="text1"/>
          <w:sz w:val="24"/>
          <w:szCs w:val="24"/>
          <w:lang w:val="en-US"/>
        </w:rPr>
        <w:t>Innovation &amp; Digitalization. A report of the ET2020 Working Group on Vocational Education and Training (VET)</w:t>
      </w:r>
      <w:r w:rsidRPr="005C6FBD">
        <w:rPr>
          <w:rFonts w:ascii="Times New Roman" w:hAnsi="Times New Roman"/>
          <w:color w:val="000000" w:themeColor="text1"/>
          <w:sz w:val="24"/>
          <w:szCs w:val="24"/>
          <w:lang w:val="en-US"/>
        </w:rPr>
        <w:t xml:space="preserve">. European Commission. </w:t>
      </w:r>
    </w:p>
    <w:p w14:paraId="702BC776" w14:textId="651BD05F" w:rsidR="2689E3B7" w:rsidRPr="005C6FBD" w:rsidRDefault="2689E3B7" w:rsidP="005C6FBD">
      <w:pPr>
        <w:spacing w:after="160" w:line="240" w:lineRule="auto"/>
        <w:ind w:left="720" w:hanging="720"/>
        <w:rPr>
          <w:rFonts w:ascii="Times New Roman" w:hAnsi="Times New Roman"/>
          <w:color w:val="000000" w:themeColor="text1"/>
          <w:sz w:val="24"/>
          <w:szCs w:val="24"/>
        </w:rPr>
      </w:pPr>
      <w:r w:rsidRPr="005C6FBD">
        <w:rPr>
          <w:rFonts w:ascii="Times New Roman" w:hAnsi="Times New Roman"/>
          <w:sz w:val="24"/>
          <w:szCs w:val="24"/>
          <w:lang w:val="en-US"/>
        </w:rPr>
        <w:t xml:space="preserve">García de Paz, S. y Santana, P. J. (2021). La </w:t>
      </w:r>
      <w:proofErr w:type="spellStart"/>
      <w:r w:rsidRPr="005C6FBD">
        <w:rPr>
          <w:rFonts w:ascii="Times New Roman" w:hAnsi="Times New Roman"/>
          <w:sz w:val="24"/>
          <w:szCs w:val="24"/>
          <w:lang w:val="en-US"/>
        </w:rPr>
        <w:t>transición</w:t>
      </w:r>
      <w:proofErr w:type="spellEnd"/>
      <w:r w:rsidRPr="005C6FBD">
        <w:rPr>
          <w:rFonts w:ascii="Times New Roman" w:hAnsi="Times New Roman"/>
          <w:sz w:val="24"/>
          <w:szCs w:val="24"/>
          <w:lang w:val="en-US"/>
        </w:rPr>
        <w:t xml:space="preserve"> </w:t>
      </w:r>
      <w:proofErr w:type="gramStart"/>
      <w:r w:rsidRPr="005C6FBD">
        <w:rPr>
          <w:rFonts w:ascii="Times New Roman" w:hAnsi="Times New Roman"/>
          <w:sz w:val="24"/>
          <w:szCs w:val="24"/>
          <w:lang w:val="en-US"/>
        </w:rPr>
        <w:t>a</w:t>
      </w:r>
      <w:proofErr w:type="gramEnd"/>
      <w:r w:rsidRPr="005C6FBD">
        <w:rPr>
          <w:rFonts w:ascii="Times New Roman" w:hAnsi="Times New Roman"/>
          <w:sz w:val="24"/>
          <w:szCs w:val="24"/>
          <w:lang w:val="en-US"/>
        </w:rPr>
        <w:t xml:space="preserve"> </w:t>
      </w:r>
      <w:proofErr w:type="spellStart"/>
      <w:r w:rsidRPr="005C6FBD">
        <w:rPr>
          <w:rFonts w:ascii="Times New Roman" w:hAnsi="Times New Roman"/>
          <w:sz w:val="24"/>
          <w:szCs w:val="24"/>
          <w:lang w:val="en-US"/>
        </w:rPr>
        <w:t>entornos</w:t>
      </w:r>
      <w:proofErr w:type="spellEnd"/>
      <w:r w:rsidRPr="005C6FBD">
        <w:rPr>
          <w:rFonts w:ascii="Times New Roman" w:hAnsi="Times New Roman"/>
          <w:sz w:val="24"/>
          <w:szCs w:val="24"/>
          <w:lang w:val="en-US"/>
        </w:rPr>
        <w:t xml:space="preserve"> de </w:t>
      </w:r>
      <w:proofErr w:type="spellStart"/>
      <w:r w:rsidRPr="005C6FBD">
        <w:rPr>
          <w:rFonts w:ascii="Times New Roman" w:hAnsi="Times New Roman"/>
          <w:sz w:val="24"/>
          <w:szCs w:val="24"/>
          <w:lang w:val="en-US"/>
        </w:rPr>
        <w:t>educación</w:t>
      </w:r>
      <w:proofErr w:type="spellEnd"/>
      <w:r w:rsidRPr="005C6FBD">
        <w:rPr>
          <w:rFonts w:ascii="Times New Roman" w:hAnsi="Times New Roman"/>
          <w:sz w:val="24"/>
          <w:szCs w:val="24"/>
          <w:lang w:val="en-US"/>
        </w:rPr>
        <w:t xml:space="preserve"> virtual </w:t>
      </w:r>
      <w:proofErr w:type="spellStart"/>
      <w:r w:rsidRPr="005C6FBD">
        <w:rPr>
          <w:rFonts w:ascii="Times New Roman" w:hAnsi="Times New Roman"/>
          <w:sz w:val="24"/>
          <w:szCs w:val="24"/>
          <w:lang w:val="en-US"/>
        </w:rPr>
        <w:t>en</w:t>
      </w:r>
      <w:proofErr w:type="spellEnd"/>
      <w:r w:rsidRPr="005C6FBD">
        <w:rPr>
          <w:rFonts w:ascii="Times New Roman" w:hAnsi="Times New Roman"/>
          <w:sz w:val="24"/>
          <w:szCs w:val="24"/>
          <w:lang w:val="en-US"/>
        </w:rPr>
        <w:t xml:space="preserve"> un </w:t>
      </w:r>
      <w:proofErr w:type="spellStart"/>
      <w:r w:rsidRPr="005C6FBD">
        <w:rPr>
          <w:rFonts w:ascii="Times New Roman" w:hAnsi="Times New Roman"/>
          <w:sz w:val="24"/>
          <w:szCs w:val="24"/>
          <w:lang w:val="en-US"/>
        </w:rPr>
        <w:t>contexto</w:t>
      </w:r>
      <w:proofErr w:type="spellEnd"/>
      <w:r w:rsidRPr="005C6FBD">
        <w:rPr>
          <w:rFonts w:ascii="Times New Roman" w:hAnsi="Times New Roman"/>
          <w:sz w:val="24"/>
          <w:szCs w:val="24"/>
          <w:lang w:val="en-US"/>
        </w:rPr>
        <w:t xml:space="preserve"> de </w:t>
      </w:r>
      <w:proofErr w:type="spellStart"/>
      <w:r w:rsidRPr="005C6FBD">
        <w:rPr>
          <w:rFonts w:ascii="Times New Roman" w:hAnsi="Times New Roman"/>
          <w:sz w:val="24"/>
          <w:szCs w:val="24"/>
          <w:lang w:val="en-US"/>
        </w:rPr>
        <w:t>emergencia</w:t>
      </w:r>
      <w:proofErr w:type="spellEnd"/>
      <w:r w:rsidRPr="005C6FBD">
        <w:rPr>
          <w:rFonts w:ascii="Times New Roman" w:hAnsi="Times New Roman"/>
          <w:sz w:val="24"/>
          <w:szCs w:val="24"/>
          <w:lang w:val="en-US"/>
        </w:rPr>
        <w:t xml:space="preserve"> sanitaria: </w:t>
      </w:r>
      <w:proofErr w:type="spellStart"/>
      <w:r w:rsidRPr="005C6FBD">
        <w:rPr>
          <w:rFonts w:ascii="Times New Roman" w:hAnsi="Times New Roman"/>
          <w:sz w:val="24"/>
          <w:szCs w:val="24"/>
          <w:lang w:val="en-US"/>
        </w:rPr>
        <w:t>estudio</w:t>
      </w:r>
      <w:proofErr w:type="spellEnd"/>
      <w:r w:rsidRPr="005C6FBD">
        <w:rPr>
          <w:rFonts w:ascii="Times New Roman" w:hAnsi="Times New Roman"/>
          <w:sz w:val="24"/>
          <w:szCs w:val="24"/>
          <w:lang w:val="en-US"/>
        </w:rPr>
        <w:t xml:space="preserve"> de </w:t>
      </w:r>
      <w:proofErr w:type="spellStart"/>
      <w:r w:rsidRPr="005C6FBD">
        <w:rPr>
          <w:rFonts w:ascii="Times New Roman" w:hAnsi="Times New Roman"/>
          <w:sz w:val="24"/>
          <w:szCs w:val="24"/>
          <w:lang w:val="en-US"/>
        </w:rPr>
        <w:t>caso</w:t>
      </w:r>
      <w:proofErr w:type="spellEnd"/>
      <w:r w:rsidRPr="005C6FBD">
        <w:rPr>
          <w:rFonts w:ascii="Times New Roman" w:hAnsi="Times New Roman"/>
          <w:sz w:val="24"/>
          <w:szCs w:val="24"/>
          <w:lang w:val="en-US"/>
        </w:rPr>
        <w:t xml:space="preserve"> de un </w:t>
      </w:r>
      <w:proofErr w:type="spellStart"/>
      <w:r w:rsidRPr="005C6FBD">
        <w:rPr>
          <w:rFonts w:ascii="Times New Roman" w:hAnsi="Times New Roman"/>
          <w:sz w:val="24"/>
          <w:szCs w:val="24"/>
          <w:lang w:val="en-US"/>
        </w:rPr>
        <w:t>equipo</w:t>
      </w:r>
      <w:proofErr w:type="spellEnd"/>
      <w:r w:rsidRPr="005C6FBD">
        <w:rPr>
          <w:rFonts w:ascii="Times New Roman" w:hAnsi="Times New Roman"/>
          <w:sz w:val="24"/>
          <w:szCs w:val="24"/>
          <w:lang w:val="en-US"/>
        </w:rPr>
        <w:t xml:space="preserve"> </w:t>
      </w:r>
      <w:proofErr w:type="spellStart"/>
      <w:r w:rsidRPr="005C6FBD">
        <w:rPr>
          <w:rFonts w:ascii="Times New Roman" w:hAnsi="Times New Roman"/>
          <w:sz w:val="24"/>
          <w:szCs w:val="24"/>
          <w:lang w:val="en-US"/>
        </w:rPr>
        <w:t>docente</w:t>
      </w:r>
      <w:proofErr w:type="spellEnd"/>
      <w:r w:rsidRPr="005C6FBD">
        <w:rPr>
          <w:rFonts w:ascii="Times New Roman" w:hAnsi="Times New Roman"/>
          <w:sz w:val="24"/>
          <w:szCs w:val="24"/>
          <w:lang w:val="en-US"/>
        </w:rPr>
        <w:t xml:space="preserve"> </w:t>
      </w:r>
      <w:proofErr w:type="spellStart"/>
      <w:r w:rsidRPr="005C6FBD">
        <w:rPr>
          <w:rFonts w:ascii="Times New Roman" w:hAnsi="Times New Roman"/>
          <w:sz w:val="24"/>
          <w:szCs w:val="24"/>
          <w:lang w:val="en-US"/>
        </w:rPr>
        <w:t>en</w:t>
      </w:r>
      <w:proofErr w:type="spellEnd"/>
      <w:r w:rsidRPr="005C6FBD">
        <w:rPr>
          <w:rFonts w:ascii="Times New Roman" w:hAnsi="Times New Roman"/>
          <w:sz w:val="24"/>
          <w:szCs w:val="24"/>
          <w:lang w:val="en-US"/>
        </w:rPr>
        <w:t xml:space="preserve"> </w:t>
      </w:r>
      <w:proofErr w:type="spellStart"/>
      <w:r w:rsidRPr="005C6FBD">
        <w:rPr>
          <w:rFonts w:ascii="Times New Roman" w:hAnsi="Times New Roman"/>
          <w:sz w:val="24"/>
          <w:szCs w:val="24"/>
          <w:lang w:val="en-US"/>
        </w:rPr>
        <w:t>Formación</w:t>
      </w:r>
      <w:proofErr w:type="spellEnd"/>
      <w:r w:rsidRPr="005C6FBD">
        <w:rPr>
          <w:rFonts w:ascii="Times New Roman" w:hAnsi="Times New Roman"/>
          <w:sz w:val="24"/>
          <w:szCs w:val="24"/>
          <w:lang w:val="en-US"/>
        </w:rPr>
        <w:t xml:space="preserve"> </w:t>
      </w:r>
      <w:proofErr w:type="spellStart"/>
      <w:r w:rsidRPr="005C6FBD">
        <w:rPr>
          <w:rFonts w:ascii="Times New Roman" w:hAnsi="Times New Roman"/>
          <w:sz w:val="24"/>
          <w:szCs w:val="24"/>
          <w:lang w:val="en-US"/>
        </w:rPr>
        <w:t>Profesional</w:t>
      </w:r>
      <w:proofErr w:type="spellEnd"/>
      <w:r w:rsidRPr="005C6FBD">
        <w:rPr>
          <w:rFonts w:ascii="Times New Roman" w:hAnsi="Times New Roman"/>
          <w:sz w:val="24"/>
          <w:szCs w:val="24"/>
          <w:lang w:val="en-US"/>
        </w:rPr>
        <w:t xml:space="preserve"> </w:t>
      </w:r>
      <w:proofErr w:type="spellStart"/>
      <w:r w:rsidRPr="005C6FBD">
        <w:rPr>
          <w:rFonts w:ascii="Times New Roman" w:hAnsi="Times New Roman"/>
          <w:sz w:val="24"/>
          <w:szCs w:val="24"/>
          <w:lang w:val="en-US"/>
        </w:rPr>
        <w:t>Básica</w:t>
      </w:r>
      <w:proofErr w:type="spellEnd"/>
      <w:r w:rsidRPr="005C6FBD">
        <w:rPr>
          <w:rFonts w:ascii="Times New Roman" w:hAnsi="Times New Roman"/>
          <w:sz w:val="24"/>
          <w:szCs w:val="24"/>
          <w:lang w:val="en-US"/>
        </w:rPr>
        <w:t xml:space="preserve">. </w:t>
      </w:r>
      <w:proofErr w:type="spellStart"/>
      <w:r w:rsidRPr="005C6FBD">
        <w:rPr>
          <w:rFonts w:ascii="Times New Roman" w:hAnsi="Times New Roman"/>
          <w:i/>
          <w:iCs/>
          <w:sz w:val="24"/>
          <w:szCs w:val="24"/>
          <w:lang w:val="en-US"/>
        </w:rPr>
        <w:t>Revista</w:t>
      </w:r>
      <w:proofErr w:type="spellEnd"/>
      <w:r w:rsidRPr="005C6FBD">
        <w:rPr>
          <w:rFonts w:ascii="Times New Roman" w:hAnsi="Times New Roman"/>
          <w:i/>
          <w:iCs/>
          <w:sz w:val="24"/>
          <w:szCs w:val="24"/>
          <w:lang w:val="en-US"/>
        </w:rPr>
        <w:t xml:space="preserve"> de </w:t>
      </w:r>
      <w:proofErr w:type="spellStart"/>
      <w:r w:rsidRPr="005C6FBD">
        <w:rPr>
          <w:rFonts w:ascii="Times New Roman" w:hAnsi="Times New Roman"/>
          <w:i/>
          <w:iCs/>
          <w:sz w:val="24"/>
          <w:szCs w:val="24"/>
          <w:lang w:val="en-US"/>
        </w:rPr>
        <w:t>Educación</w:t>
      </w:r>
      <w:proofErr w:type="spellEnd"/>
      <w:r w:rsidRPr="005C6FBD">
        <w:rPr>
          <w:rFonts w:ascii="Times New Roman" w:hAnsi="Times New Roman"/>
          <w:i/>
          <w:iCs/>
          <w:sz w:val="24"/>
          <w:szCs w:val="24"/>
          <w:lang w:val="en-US"/>
        </w:rPr>
        <w:t xml:space="preserve"> a </w:t>
      </w:r>
      <w:proofErr w:type="spellStart"/>
      <w:r w:rsidRPr="005C6FBD">
        <w:rPr>
          <w:rFonts w:ascii="Times New Roman" w:hAnsi="Times New Roman"/>
          <w:i/>
          <w:iCs/>
          <w:sz w:val="24"/>
          <w:szCs w:val="24"/>
          <w:lang w:val="en-US"/>
        </w:rPr>
        <w:t>Distancia</w:t>
      </w:r>
      <w:proofErr w:type="spellEnd"/>
      <w:r w:rsidRPr="005C6FBD">
        <w:rPr>
          <w:rFonts w:ascii="Times New Roman" w:hAnsi="Times New Roman"/>
          <w:i/>
          <w:iCs/>
          <w:sz w:val="24"/>
          <w:szCs w:val="24"/>
          <w:lang w:val="en-US"/>
        </w:rPr>
        <w:t>, 21</w:t>
      </w:r>
      <w:r w:rsidRPr="005C6FBD">
        <w:rPr>
          <w:rFonts w:ascii="Times New Roman" w:hAnsi="Times New Roman"/>
          <w:sz w:val="24"/>
          <w:szCs w:val="24"/>
          <w:lang w:val="en-US"/>
        </w:rPr>
        <w:t>(65)</w:t>
      </w:r>
      <w:r w:rsidRPr="005C6FBD">
        <w:rPr>
          <w:rFonts w:ascii="Times New Roman" w:hAnsi="Times New Roman"/>
          <w:color w:val="1E1919"/>
          <w:sz w:val="24"/>
          <w:szCs w:val="24"/>
          <w:lang w:val="en-US"/>
        </w:rPr>
        <w:t xml:space="preserve">. </w:t>
      </w:r>
      <w:hyperlink r:id="rId12">
        <w:r w:rsidRPr="005C6FBD">
          <w:rPr>
            <w:rStyle w:val="Hipervnculo"/>
            <w:rFonts w:ascii="Times New Roman" w:hAnsi="Times New Roman"/>
            <w:sz w:val="24"/>
            <w:szCs w:val="24"/>
            <w:lang w:val="en-US"/>
          </w:rPr>
          <w:t>https://doi.org/10.6018/red.450791</w:t>
        </w:r>
      </w:hyperlink>
      <w:r w:rsidRPr="005C6FBD">
        <w:rPr>
          <w:rFonts w:ascii="Times New Roman" w:hAnsi="Times New Roman"/>
          <w:sz w:val="24"/>
          <w:szCs w:val="24"/>
          <w:lang w:val="en-US"/>
        </w:rPr>
        <w:t xml:space="preserve"> </w:t>
      </w:r>
    </w:p>
    <w:p w14:paraId="6335835E" w14:textId="3BB5CCF9" w:rsidR="2689E3B7" w:rsidRPr="005C6FBD" w:rsidRDefault="2689E3B7" w:rsidP="005C6FBD">
      <w:pPr>
        <w:spacing w:after="0" w:line="240" w:lineRule="auto"/>
        <w:ind w:left="426" w:hanging="426"/>
        <w:jc w:val="both"/>
        <w:rPr>
          <w:rFonts w:ascii="Times New Roman" w:hAnsi="Times New Roman"/>
          <w:sz w:val="24"/>
          <w:szCs w:val="24"/>
        </w:rPr>
      </w:pPr>
      <w:r w:rsidRPr="005C6FBD">
        <w:rPr>
          <w:rFonts w:ascii="Times New Roman" w:hAnsi="Times New Roman"/>
          <w:sz w:val="24"/>
          <w:szCs w:val="24"/>
          <w:lang w:val="en-US"/>
        </w:rPr>
        <w:t xml:space="preserve">Guo, F., Hong, X. y Coates, H. (2020). Accelerated transformation: Designing global online higher education. </w:t>
      </w:r>
      <w:r w:rsidRPr="005C6FBD">
        <w:rPr>
          <w:rFonts w:ascii="Times New Roman" w:hAnsi="Times New Roman"/>
          <w:i/>
          <w:iCs/>
          <w:sz w:val="24"/>
          <w:szCs w:val="24"/>
          <w:lang w:val="en-US"/>
        </w:rPr>
        <w:t>Higher Education Research &amp; Development</w:t>
      </w:r>
      <w:r w:rsidRPr="005C6FBD">
        <w:rPr>
          <w:rFonts w:ascii="Times New Roman" w:hAnsi="Times New Roman"/>
          <w:sz w:val="24"/>
          <w:szCs w:val="24"/>
          <w:lang w:val="en-US"/>
        </w:rPr>
        <w:t xml:space="preserve">, </w:t>
      </w:r>
      <w:r w:rsidRPr="005C6FBD">
        <w:rPr>
          <w:rFonts w:ascii="Times New Roman" w:hAnsi="Times New Roman"/>
          <w:i/>
          <w:iCs/>
          <w:sz w:val="24"/>
          <w:szCs w:val="24"/>
          <w:lang w:val="en-US"/>
        </w:rPr>
        <w:t>39</w:t>
      </w:r>
      <w:r w:rsidRPr="005C6FBD">
        <w:rPr>
          <w:rFonts w:ascii="Times New Roman" w:hAnsi="Times New Roman"/>
          <w:sz w:val="24"/>
          <w:szCs w:val="24"/>
          <w:lang w:val="en-US"/>
        </w:rPr>
        <w:t xml:space="preserve">(7), 1322-1326. </w:t>
      </w:r>
      <w:hyperlink r:id="rId13">
        <w:r w:rsidRPr="005C6FBD">
          <w:rPr>
            <w:rStyle w:val="Hipervnculo"/>
            <w:rFonts w:ascii="Times New Roman" w:hAnsi="Times New Roman"/>
            <w:sz w:val="24"/>
            <w:szCs w:val="24"/>
            <w:lang w:val="en-US"/>
          </w:rPr>
          <w:t>https://doi.org/10.1080/07294360.2020.1824209</w:t>
        </w:r>
      </w:hyperlink>
    </w:p>
    <w:p w14:paraId="52A0F609" w14:textId="5716E4ED" w:rsidR="2689E3B7" w:rsidRPr="005C6FBD" w:rsidRDefault="2689E3B7" w:rsidP="005C6FBD">
      <w:pPr>
        <w:spacing w:after="0" w:line="240" w:lineRule="auto"/>
        <w:ind w:left="426" w:hanging="426"/>
        <w:jc w:val="both"/>
        <w:rPr>
          <w:rFonts w:ascii="Times New Roman" w:hAnsi="Times New Roman"/>
          <w:sz w:val="24"/>
          <w:szCs w:val="24"/>
        </w:rPr>
      </w:pPr>
    </w:p>
    <w:p w14:paraId="16AE0ABE" w14:textId="62ABA431" w:rsidR="2689E3B7" w:rsidRPr="005C6FBD" w:rsidRDefault="2689E3B7" w:rsidP="005C6FBD">
      <w:pPr>
        <w:spacing w:after="0" w:line="240" w:lineRule="auto"/>
        <w:ind w:left="426" w:hanging="426"/>
        <w:jc w:val="both"/>
        <w:rPr>
          <w:rFonts w:ascii="Times New Roman" w:hAnsi="Times New Roman"/>
          <w:sz w:val="24"/>
          <w:szCs w:val="24"/>
        </w:rPr>
      </w:pPr>
      <w:r w:rsidRPr="005C6FBD">
        <w:rPr>
          <w:rFonts w:ascii="Times New Roman" w:hAnsi="Times New Roman"/>
          <w:sz w:val="24"/>
          <w:szCs w:val="24"/>
        </w:rPr>
        <w:t xml:space="preserve">McGrath, S., Powell, L., </w:t>
      </w:r>
      <w:proofErr w:type="spellStart"/>
      <w:r w:rsidRPr="005C6FBD">
        <w:rPr>
          <w:rFonts w:ascii="Times New Roman" w:hAnsi="Times New Roman"/>
          <w:sz w:val="24"/>
          <w:szCs w:val="24"/>
        </w:rPr>
        <w:t>Alla-Mensah</w:t>
      </w:r>
      <w:proofErr w:type="spellEnd"/>
      <w:r w:rsidRPr="005C6FBD">
        <w:rPr>
          <w:rFonts w:ascii="Times New Roman" w:hAnsi="Times New Roman"/>
          <w:sz w:val="24"/>
          <w:szCs w:val="24"/>
        </w:rPr>
        <w:t xml:space="preserve">, J., </w:t>
      </w:r>
      <w:proofErr w:type="spellStart"/>
      <w:r w:rsidRPr="005C6FBD">
        <w:rPr>
          <w:rFonts w:ascii="Times New Roman" w:hAnsi="Times New Roman"/>
          <w:sz w:val="24"/>
          <w:szCs w:val="24"/>
        </w:rPr>
        <w:t>Hilal</w:t>
      </w:r>
      <w:proofErr w:type="spellEnd"/>
      <w:r w:rsidRPr="005C6FBD">
        <w:rPr>
          <w:rFonts w:ascii="Times New Roman" w:hAnsi="Times New Roman"/>
          <w:sz w:val="24"/>
          <w:szCs w:val="24"/>
        </w:rPr>
        <w:t xml:space="preserve">, R. y </w:t>
      </w:r>
      <w:proofErr w:type="spellStart"/>
      <w:r w:rsidRPr="005C6FBD">
        <w:rPr>
          <w:rFonts w:ascii="Times New Roman" w:hAnsi="Times New Roman"/>
          <w:sz w:val="24"/>
          <w:szCs w:val="24"/>
        </w:rPr>
        <w:t>Suart</w:t>
      </w:r>
      <w:proofErr w:type="spellEnd"/>
      <w:r w:rsidRPr="005C6FBD">
        <w:rPr>
          <w:rFonts w:ascii="Times New Roman" w:hAnsi="Times New Roman"/>
          <w:sz w:val="24"/>
          <w:szCs w:val="24"/>
        </w:rPr>
        <w:t xml:space="preserve">, R. (2020). New VET </w:t>
      </w:r>
      <w:proofErr w:type="spellStart"/>
      <w:r w:rsidRPr="005C6FBD">
        <w:rPr>
          <w:rFonts w:ascii="Times New Roman" w:hAnsi="Times New Roman"/>
          <w:sz w:val="24"/>
          <w:szCs w:val="24"/>
        </w:rPr>
        <w:t>theories</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for</w:t>
      </w:r>
      <w:proofErr w:type="spellEnd"/>
      <w:r w:rsidRPr="005C6FBD">
        <w:rPr>
          <w:rFonts w:ascii="Times New Roman" w:hAnsi="Times New Roman"/>
          <w:sz w:val="24"/>
          <w:szCs w:val="24"/>
        </w:rPr>
        <w:t xml:space="preserve"> new times: </w:t>
      </w:r>
      <w:proofErr w:type="spellStart"/>
      <w:r w:rsidRPr="005C6FBD">
        <w:rPr>
          <w:rFonts w:ascii="Times New Roman" w:hAnsi="Times New Roman"/>
          <w:sz w:val="24"/>
          <w:szCs w:val="24"/>
        </w:rPr>
        <w:t>the</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critical</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capabilities</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approach</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tovocational</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education</w:t>
      </w:r>
      <w:proofErr w:type="spellEnd"/>
      <w:r w:rsidRPr="005C6FBD">
        <w:rPr>
          <w:rFonts w:ascii="Times New Roman" w:hAnsi="Times New Roman"/>
          <w:sz w:val="24"/>
          <w:szCs w:val="24"/>
        </w:rPr>
        <w:t xml:space="preserve"> and training and </w:t>
      </w:r>
      <w:proofErr w:type="spellStart"/>
      <w:r w:rsidRPr="005C6FBD">
        <w:rPr>
          <w:rFonts w:ascii="Times New Roman" w:hAnsi="Times New Roman"/>
          <w:sz w:val="24"/>
          <w:szCs w:val="24"/>
        </w:rPr>
        <w:t>its</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potential</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for</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theorising</w:t>
      </w:r>
      <w:proofErr w:type="spellEnd"/>
      <w:r w:rsidRPr="005C6FBD">
        <w:rPr>
          <w:rFonts w:ascii="Times New Roman" w:hAnsi="Times New Roman"/>
          <w:sz w:val="24"/>
          <w:szCs w:val="24"/>
        </w:rPr>
        <w:t xml:space="preserve"> a </w:t>
      </w:r>
      <w:proofErr w:type="spellStart"/>
      <w:r w:rsidRPr="005C6FBD">
        <w:rPr>
          <w:rFonts w:ascii="Times New Roman" w:hAnsi="Times New Roman"/>
          <w:sz w:val="24"/>
          <w:szCs w:val="24"/>
        </w:rPr>
        <w:t>transformed</w:t>
      </w:r>
      <w:proofErr w:type="spellEnd"/>
      <w:r w:rsidRPr="005C6FBD">
        <w:rPr>
          <w:rFonts w:ascii="Times New Roman" w:hAnsi="Times New Roman"/>
          <w:sz w:val="24"/>
          <w:szCs w:val="24"/>
        </w:rPr>
        <w:t xml:space="preserve"> and </w:t>
      </w:r>
      <w:proofErr w:type="spellStart"/>
      <w:r w:rsidRPr="005C6FBD">
        <w:rPr>
          <w:rFonts w:ascii="Times New Roman" w:hAnsi="Times New Roman"/>
          <w:sz w:val="24"/>
          <w:szCs w:val="24"/>
        </w:rPr>
        <w:t>transformational</w:t>
      </w:r>
      <w:proofErr w:type="spellEnd"/>
      <w:r w:rsidRPr="005C6FBD">
        <w:rPr>
          <w:rFonts w:ascii="Times New Roman" w:hAnsi="Times New Roman"/>
          <w:sz w:val="24"/>
          <w:szCs w:val="24"/>
        </w:rPr>
        <w:t xml:space="preserve"> VET. </w:t>
      </w:r>
      <w:proofErr w:type="spellStart"/>
      <w:r w:rsidRPr="005C6FBD">
        <w:rPr>
          <w:rFonts w:ascii="Times New Roman" w:hAnsi="Times New Roman"/>
          <w:i/>
          <w:iCs/>
          <w:sz w:val="24"/>
          <w:szCs w:val="24"/>
        </w:rPr>
        <w:t>Journal</w:t>
      </w:r>
      <w:proofErr w:type="spellEnd"/>
      <w:r w:rsidRPr="005C6FBD">
        <w:rPr>
          <w:rFonts w:ascii="Times New Roman" w:hAnsi="Times New Roman"/>
          <w:i/>
          <w:iCs/>
          <w:sz w:val="24"/>
          <w:szCs w:val="24"/>
        </w:rPr>
        <w:t xml:space="preserve"> of </w:t>
      </w:r>
      <w:proofErr w:type="spellStart"/>
      <w:r w:rsidRPr="005C6FBD">
        <w:rPr>
          <w:rFonts w:ascii="Times New Roman" w:hAnsi="Times New Roman"/>
          <w:i/>
          <w:iCs/>
          <w:sz w:val="24"/>
          <w:szCs w:val="24"/>
        </w:rPr>
        <w:t>Vocational</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Education</w:t>
      </w:r>
      <w:proofErr w:type="spellEnd"/>
      <w:r w:rsidRPr="005C6FBD">
        <w:rPr>
          <w:rFonts w:ascii="Times New Roman" w:hAnsi="Times New Roman"/>
          <w:i/>
          <w:iCs/>
          <w:sz w:val="24"/>
          <w:szCs w:val="24"/>
        </w:rPr>
        <w:t xml:space="preserve"> &amp; Training</w:t>
      </w:r>
      <w:r w:rsidRPr="005C6FBD">
        <w:rPr>
          <w:rFonts w:ascii="Times New Roman" w:hAnsi="Times New Roman"/>
          <w:sz w:val="24"/>
          <w:szCs w:val="24"/>
        </w:rPr>
        <w:t xml:space="preserve">. </w:t>
      </w:r>
      <w:hyperlink r:id="rId14">
        <w:r w:rsidRPr="005C6FBD">
          <w:rPr>
            <w:rStyle w:val="Hipervnculo"/>
            <w:rFonts w:ascii="Times New Roman" w:hAnsi="Times New Roman"/>
            <w:sz w:val="24"/>
            <w:szCs w:val="24"/>
          </w:rPr>
          <w:t>https://doi.org/10.1080/13636820.2020.1786440</w:t>
        </w:r>
      </w:hyperlink>
    </w:p>
    <w:p w14:paraId="0BAC897F" w14:textId="58A4E67E" w:rsidR="2689E3B7" w:rsidRPr="005C6FBD" w:rsidRDefault="2689E3B7" w:rsidP="005C6FBD">
      <w:pPr>
        <w:spacing w:after="0" w:line="240" w:lineRule="auto"/>
        <w:ind w:left="426" w:hanging="426"/>
        <w:jc w:val="both"/>
        <w:rPr>
          <w:rFonts w:ascii="Times New Roman" w:hAnsi="Times New Roman"/>
          <w:color w:val="000000" w:themeColor="text1"/>
          <w:sz w:val="24"/>
          <w:szCs w:val="24"/>
          <w:lang w:val="en-US"/>
        </w:rPr>
      </w:pPr>
    </w:p>
    <w:p w14:paraId="7D0BA9CC" w14:textId="6F288F78" w:rsidR="2689E3B7" w:rsidRPr="005C6FBD" w:rsidRDefault="2689E3B7" w:rsidP="005C6FBD">
      <w:pPr>
        <w:spacing w:after="0" w:line="240" w:lineRule="auto"/>
        <w:ind w:left="426" w:hanging="426"/>
        <w:jc w:val="both"/>
        <w:rPr>
          <w:rFonts w:ascii="Times New Roman" w:hAnsi="Times New Roman"/>
          <w:sz w:val="24"/>
          <w:szCs w:val="24"/>
        </w:rPr>
      </w:pPr>
      <w:proofErr w:type="spellStart"/>
      <w:r w:rsidRPr="005C6FBD">
        <w:rPr>
          <w:rFonts w:ascii="Times New Roman" w:hAnsi="Times New Roman"/>
          <w:color w:val="000000" w:themeColor="text1"/>
          <w:sz w:val="24"/>
          <w:szCs w:val="24"/>
          <w:lang w:val="en-US"/>
        </w:rPr>
        <w:t>Noguera</w:t>
      </w:r>
      <w:proofErr w:type="spellEnd"/>
      <w:r w:rsidRPr="005C6FBD">
        <w:rPr>
          <w:rFonts w:ascii="Times New Roman" w:hAnsi="Times New Roman"/>
          <w:color w:val="000000" w:themeColor="text1"/>
          <w:sz w:val="24"/>
          <w:szCs w:val="24"/>
          <w:lang w:val="en-US"/>
        </w:rPr>
        <w:t xml:space="preserve">, I. y Valdivia, P. (2022). Teachers’ and students’ perspectives on the intensive use of technology for teaching and learning. </w:t>
      </w:r>
      <w:proofErr w:type="spellStart"/>
      <w:r w:rsidRPr="005C6FBD">
        <w:rPr>
          <w:rFonts w:ascii="Times New Roman" w:hAnsi="Times New Roman"/>
          <w:i/>
          <w:iCs/>
          <w:color w:val="000000" w:themeColor="text1"/>
          <w:sz w:val="24"/>
          <w:szCs w:val="24"/>
          <w:lang w:val="en-US"/>
        </w:rPr>
        <w:t>Educar</w:t>
      </w:r>
      <w:proofErr w:type="spellEnd"/>
      <w:r w:rsidRPr="005C6FBD">
        <w:rPr>
          <w:rFonts w:ascii="Times New Roman" w:hAnsi="Times New Roman"/>
          <w:color w:val="000000" w:themeColor="text1"/>
          <w:sz w:val="24"/>
          <w:szCs w:val="24"/>
          <w:lang w:val="en-US"/>
        </w:rPr>
        <w:t xml:space="preserve">, article </w:t>
      </w:r>
      <w:proofErr w:type="spellStart"/>
      <w:r w:rsidRPr="005C6FBD">
        <w:rPr>
          <w:rFonts w:ascii="Times New Roman" w:hAnsi="Times New Roman"/>
          <w:color w:val="000000" w:themeColor="text1"/>
          <w:sz w:val="24"/>
          <w:szCs w:val="24"/>
          <w:lang w:val="en-US"/>
        </w:rPr>
        <w:t>en</w:t>
      </w:r>
      <w:proofErr w:type="spellEnd"/>
      <w:r w:rsidRPr="005C6FBD">
        <w:rPr>
          <w:rFonts w:ascii="Times New Roman" w:hAnsi="Times New Roman"/>
          <w:color w:val="000000" w:themeColor="text1"/>
          <w:sz w:val="24"/>
          <w:szCs w:val="24"/>
          <w:lang w:val="en-US"/>
        </w:rPr>
        <w:t xml:space="preserve"> </w:t>
      </w:r>
      <w:proofErr w:type="spellStart"/>
      <w:r w:rsidRPr="005C6FBD">
        <w:rPr>
          <w:rFonts w:ascii="Times New Roman" w:hAnsi="Times New Roman"/>
          <w:color w:val="000000" w:themeColor="text1"/>
          <w:sz w:val="24"/>
          <w:szCs w:val="24"/>
          <w:lang w:val="en-US"/>
        </w:rPr>
        <w:t>prensa</w:t>
      </w:r>
      <w:proofErr w:type="spellEnd"/>
      <w:r w:rsidRPr="005C6FBD">
        <w:rPr>
          <w:rFonts w:ascii="Times New Roman" w:hAnsi="Times New Roman"/>
          <w:color w:val="000000" w:themeColor="text1"/>
          <w:sz w:val="24"/>
          <w:szCs w:val="24"/>
          <w:lang w:val="en-US"/>
        </w:rPr>
        <w:t xml:space="preserve">, 1-17. </w:t>
      </w:r>
      <w:hyperlink r:id="rId15">
        <w:r w:rsidRPr="005C6FBD">
          <w:rPr>
            <w:rStyle w:val="Hipervnculo"/>
            <w:rFonts w:ascii="Times New Roman" w:hAnsi="Times New Roman"/>
            <w:sz w:val="24"/>
            <w:szCs w:val="24"/>
            <w:lang w:val="en-US"/>
          </w:rPr>
          <w:t>https://doi.org/10.5565/rev/educar.1551</w:t>
        </w:r>
      </w:hyperlink>
    </w:p>
    <w:p w14:paraId="5B953A92" w14:textId="6AD38D82" w:rsidR="2689E3B7" w:rsidRPr="005C6FBD" w:rsidRDefault="2689E3B7" w:rsidP="005C6FBD">
      <w:pPr>
        <w:spacing w:after="0" w:line="240" w:lineRule="auto"/>
        <w:ind w:left="426" w:hanging="426"/>
        <w:jc w:val="both"/>
        <w:rPr>
          <w:rFonts w:ascii="Times New Roman" w:hAnsi="Times New Roman"/>
          <w:color w:val="1E1919"/>
          <w:sz w:val="24"/>
          <w:szCs w:val="24"/>
          <w:lang w:val="en-US"/>
        </w:rPr>
      </w:pPr>
    </w:p>
    <w:p w14:paraId="5CCB9E73" w14:textId="795D450D" w:rsidR="2689E3B7" w:rsidRPr="005C6FBD" w:rsidRDefault="2689E3B7" w:rsidP="005C6FBD">
      <w:pPr>
        <w:spacing w:after="0" w:line="240" w:lineRule="auto"/>
        <w:ind w:left="426" w:hanging="426"/>
        <w:jc w:val="both"/>
        <w:rPr>
          <w:rFonts w:ascii="Times New Roman" w:hAnsi="Times New Roman"/>
          <w:sz w:val="24"/>
          <w:szCs w:val="24"/>
        </w:rPr>
      </w:pPr>
      <w:r w:rsidRPr="005C6FBD">
        <w:rPr>
          <w:rFonts w:ascii="Times New Roman" w:hAnsi="Times New Roman"/>
          <w:sz w:val="24"/>
          <w:szCs w:val="24"/>
          <w:lang w:val="en-US"/>
        </w:rPr>
        <w:t>Quesada-</w:t>
      </w:r>
      <w:proofErr w:type="spellStart"/>
      <w:r w:rsidRPr="005C6FBD">
        <w:rPr>
          <w:rFonts w:ascii="Times New Roman" w:hAnsi="Times New Roman"/>
          <w:sz w:val="24"/>
          <w:szCs w:val="24"/>
          <w:lang w:val="en-US"/>
        </w:rPr>
        <w:t>Pallarès</w:t>
      </w:r>
      <w:proofErr w:type="spellEnd"/>
      <w:r w:rsidRPr="005C6FBD">
        <w:rPr>
          <w:rFonts w:ascii="Times New Roman" w:hAnsi="Times New Roman"/>
          <w:sz w:val="24"/>
          <w:szCs w:val="24"/>
          <w:lang w:val="en-US"/>
        </w:rPr>
        <w:t xml:space="preserve"> C., Sánchez-Martí A., </w:t>
      </w:r>
      <w:proofErr w:type="spellStart"/>
      <w:r w:rsidRPr="005C6FBD">
        <w:rPr>
          <w:rFonts w:ascii="Times New Roman" w:hAnsi="Times New Roman"/>
          <w:sz w:val="24"/>
          <w:szCs w:val="24"/>
          <w:lang w:val="en-US"/>
        </w:rPr>
        <w:t>Ciraso-Calí</w:t>
      </w:r>
      <w:proofErr w:type="spellEnd"/>
      <w:r w:rsidRPr="005C6FBD">
        <w:rPr>
          <w:rFonts w:ascii="Times New Roman" w:hAnsi="Times New Roman"/>
          <w:sz w:val="24"/>
          <w:szCs w:val="24"/>
          <w:lang w:val="en-US"/>
        </w:rPr>
        <w:t xml:space="preserve"> A. y Pineda-Herrero P. (2019) Online vs. Classroom Learning: Examining Motivational and Self-Regulated Learning Strategies Among Vocational Education and Training Students. </w:t>
      </w:r>
      <w:r w:rsidRPr="005C6FBD">
        <w:rPr>
          <w:rFonts w:ascii="Times New Roman" w:hAnsi="Times New Roman"/>
          <w:i/>
          <w:iCs/>
          <w:sz w:val="24"/>
          <w:szCs w:val="24"/>
          <w:lang w:val="en-US"/>
        </w:rPr>
        <w:t>Frontiers in Psychology, 10</w:t>
      </w:r>
      <w:r w:rsidRPr="005C6FBD">
        <w:rPr>
          <w:rFonts w:ascii="Times New Roman" w:hAnsi="Times New Roman"/>
          <w:sz w:val="24"/>
          <w:szCs w:val="24"/>
          <w:lang w:val="en-US"/>
        </w:rPr>
        <w:t>, 2795.</w:t>
      </w:r>
      <w:r w:rsidRPr="005C6FBD">
        <w:rPr>
          <w:rFonts w:ascii="Times New Roman" w:hAnsi="Times New Roman"/>
          <w:color w:val="1E1919"/>
          <w:sz w:val="24"/>
          <w:szCs w:val="24"/>
          <w:lang w:val="en-US"/>
        </w:rPr>
        <w:t xml:space="preserve"> </w:t>
      </w:r>
      <w:hyperlink r:id="rId16">
        <w:r w:rsidRPr="005C6FBD">
          <w:rPr>
            <w:rStyle w:val="Hipervnculo"/>
            <w:rFonts w:ascii="Times New Roman" w:hAnsi="Times New Roman"/>
            <w:sz w:val="24"/>
            <w:szCs w:val="24"/>
            <w:lang w:val="en-US"/>
          </w:rPr>
          <w:t>https://doi.org/10.3389/fpsyg.2019.02795</w:t>
        </w:r>
      </w:hyperlink>
    </w:p>
    <w:p w14:paraId="5B2A713E" w14:textId="221D0249" w:rsidR="2689E3B7" w:rsidRPr="005C6FBD" w:rsidRDefault="2689E3B7" w:rsidP="005C6FBD">
      <w:pPr>
        <w:spacing w:after="0" w:line="240" w:lineRule="auto"/>
        <w:ind w:left="426" w:hanging="426"/>
        <w:jc w:val="both"/>
        <w:rPr>
          <w:rFonts w:ascii="Times New Roman" w:hAnsi="Times New Roman"/>
          <w:sz w:val="24"/>
          <w:szCs w:val="24"/>
          <w:lang w:val="en-US"/>
        </w:rPr>
      </w:pPr>
    </w:p>
    <w:p w14:paraId="1F774F78" w14:textId="071411B2" w:rsidR="2689E3B7" w:rsidRPr="005C6FBD" w:rsidRDefault="2689E3B7" w:rsidP="005C6FBD">
      <w:pPr>
        <w:spacing w:after="0" w:line="240" w:lineRule="auto"/>
        <w:ind w:left="426" w:hanging="426"/>
        <w:jc w:val="both"/>
        <w:rPr>
          <w:rFonts w:ascii="Times New Roman" w:hAnsi="Times New Roman"/>
          <w:sz w:val="24"/>
          <w:szCs w:val="24"/>
        </w:rPr>
      </w:pPr>
      <w:proofErr w:type="spellStart"/>
      <w:r w:rsidRPr="005C6FBD">
        <w:rPr>
          <w:rFonts w:ascii="Times New Roman" w:hAnsi="Times New Roman"/>
          <w:sz w:val="24"/>
          <w:szCs w:val="24"/>
          <w:lang w:val="en-US"/>
        </w:rPr>
        <w:t>Tarabini</w:t>
      </w:r>
      <w:proofErr w:type="spellEnd"/>
      <w:r w:rsidRPr="005C6FBD">
        <w:rPr>
          <w:rFonts w:ascii="Times New Roman" w:hAnsi="Times New Roman"/>
          <w:sz w:val="24"/>
          <w:szCs w:val="24"/>
          <w:lang w:val="en-US"/>
        </w:rPr>
        <w:t xml:space="preserve">, A., Curran, M., </w:t>
      </w:r>
      <w:proofErr w:type="spellStart"/>
      <w:r w:rsidRPr="005C6FBD">
        <w:rPr>
          <w:rFonts w:ascii="Times New Roman" w:hAnsi="Times New Roman"/>
          <w:sz w:val="24"/>
          <w:szCs w:val="24"/>
          <w:lang w:val="en-US"/>
        </w:rPr>
        <w:t>Castejón</w:t>
      </w:r>
      <w:proofErr w:type="spellEnd"/>
      <w:r w:rsidRPr="005C6FBD">
        <w:rPr>
          <w:rFonts w:ascii="Times New Roman" w:hAnsi="Times New Roman"/>
          <w:sz w:val="24"/>
          <w:szCs w:val="24"/>
          <w:lang w:val="en-US"/>
        </w:rPr>
        <w:t xml:space="preserve">, A. y Montes, A. (2018). Framing youth educational choices at the end of compulsory schooling: The Catalan case. </w:t>
      </w:r>
      <w:proofErr w:type="spellStart"/>
      <w:r w:rsidRPr="005C6FBD">
        <w:rPr>
          <w:rFonts w:ascii="Times New Roman" w:hAnsi="Times New Roman"/>
          <w:sz w:val="24"/>
          <w:szCs w:val="24"/>
          <w:lang w:val="en-US"/>
        </w:rPr>
        <w:t>En</w:t>
      </w:r>
      <w:proofErr w:type="spellEnd"/>
      <w:r w:rsidRPr="005C6FBD">
        <w:rPr>
          <w:rFonts w:ascii="Times New Roman" w:hAnsi="Times New Roman"/>
          <w:sz w:val="24"/>
          <w:szCs w:val="24"/>
          <w:lang w:val="en-US"/>
        </w:rPr>
        <w:t xml:space="preserve"> A. </w:t>
      </w:r>
      <w:proofErr w:type="spellStart"/>
      <w:r w:rsidRPr="005C6FBD">
        <w:rPr>
          <w:rFonts w:ascii="Times New Roman" w:hAnsi="Times New Roman"/>
          <w:sz w:val="24"/>
          <w:szCs w:val="24"/>
          <w:lang w:val="en-US"/>
        </w:rPr>
        <w:t>Tarabini</w:t>
      </w:r>
      <w:proofErr w:type="spellEnd"/>
      <w:r w:rsidRPr="005C6FBD">
        <w:rPr>
          <w:rFonts w:ascii="Times New Roman" w:hAnsi="Times New Roman"/>
          <w:sz w:val="24"/>
          <w:szCs w:val="24"/>
          <w:lang w:val="en-US"/>
        </w:rPr>
        <w:t xml:space="preserve">, y N. Ingram (Eds.). </w:t>
      </w:r>
      <w:r w:rsidRPr="005C6FBD">
        <w:rPr>
          <w:rFonts w:ascii="Times New Roman" w:hAnsi="Times New Roman"/>
          <w:i/>
          <w:iCs/>
          <w:sz w:val="24"/>
          <w:szCs w:val="24"/>
          <w:lang w:val="en-US"/>
        </w:rPr>
        <w:t>Educational Choices, Transitions and Aspirations in Europe: Systemic, Institutional and Subjective Challenges</w:t>
      </w:r>
      <w:r w:rsidRPr="005C6FBD">
        <w:rPr>
          <w:rFonts w:ascii="Times New Roman" w:hAnsi="Times New Roman"/>
          <w:sz w:val="24"/>
          <w:szCs w:val="24"/>
          <w:lang w:val="en-US"/>
        </w:rPr>
        <w:t xml:space="preserve">. </w:t>
      </w:r>
      <w:proofErr w:type="spellStart"/>
      <w:r w:rsidRPr="005C6FBD">
        <w:rPr>
          <w:rFonts w:ascii="Times New Roman" w:hAnsi="Times New Roman"/>
          <w:sz w:val="24"/>
          <w:szCs w:val="24"/>
        </w:rPr>
        <w:t>Routledge</w:t>
      </w:r>
      <w:proofErr w:type="spellEnd"/>
      <w:r w:rsidRPr="005C6FBD">
        <w:rPr>
          <w:rFonts w:ascii="Times New Roman" w:hAnsi="Times New Roman"/>
          <w:sz w:val="24"/>
          <w:szCs w:val="24"/>
        </w:rPr>
        <w:t>.</w:t>
      </w:r>
    </w:p>
    <w:p w14:paraId="772B07BD" w14:textId="379F1ED4" w:rsidR="2689E3B7" w:rsidRPr="005C6FBD" w:rsidRDefault="2689E3B7" w:rsidP="005C6FBD">
      <w:pPr>
        <w:spacing w:after="0" w:line="240" w:lineRule="auto"/>
        <w:ind w:left="426" w:hanging="426"/>
        <w:jc w:val="both"/>
        <w:rPr>
          <w:rFonts w:ascii="Times New Roman" w:hAnsi="Times New Roman"/>
          <w:sz w:val="24"/>
          <w:szCs w:val="24"/>
        </w:rPr>
      </w:pPr>
    </w:p>
    <w:p w14:paraId="477DE5BD" w14:textId="0F8DD682" w:rsidR="2689E3B7" w:rsidRPr="005C6FBD" w:rsidRDefault="2689E3B7" w:rsidP="005C6FBD">
      <w:pPr>
        <w:spacing w:after="0" w:line="240" w:lineRule="auto"/>
        <w:ind w:left="426" w:hanging="426"/>
        <w:jc w:val="both"/>
        <w:rPr>
          <w:rFonts w:ascii="Times New Roman" w:hAnsi="Times New Roman"/>
          <w:sz w:val="24"/>
          <w:szCs w:val="24"/>
        </w:rPr>
      </w:pPr>
      <w:r w:rsidRPr="005C6FBD">
        <w:rPr>
          <w:rFonts w:ascii="Times New Roman" w:hAnsi="Times New Roman"/>
          <w:sz w:val="24"/>
          <w:szCs w:val="24"/>
        </w:rPr>
        <w:t xml:space="preserve">UNESCO (2020). </w:t>
      </w:r>
      <w:proofErr w:type="spellStart"/>
      <w:r w:rsidRPr="005C6FBD">
        <w:rPr>
          <w:rFonts w:ascii="Times New Roman" w:hAnsi="Times New Roman"/>
          <w:i/>
          <w:iCs/>
          <w:sz w:val="24"/>
          <w:szCs w:val="24"/>
        </w:rPr>
        <w:t>Future</w:t>
      </w:r>
      <w:proofErr w:type="spellEnd"/>
      <w:r w:rsidRPr="005C6FBD">
        <w:rPr>
          <w:rFonts w:ascii="Times New Roman" w:hAnsi="Times New Roman"/>
          <w:i/>
          <w:iCs/>
          <w:sz w:val="24"/>
          <w:szCs w:val="24"/>
        </w:rPr>
        <w:t xml:space="preserve"> of TVET </w:t>
      </w:r>
      <w:proofErr w:type="spellStart"/>
      <w:r w:rsidRPr="005C6FBD">
        <w:rPr>
          <w:rFonts w:ascii="Times New Roman" w:hAnsi="Times New Roman"/>
          <w:i/>
          <w:iCs/>
          <w:sz w:val="24"/>
          <w:szCs w:val="24"/>
        </w:rPr>
        <w:t>teaching</w:t>
      </w:r>
      <w:proofErr w:type="spellEnd"/>
      <w:r w:rsidRPr="005C6FBD">
        <w:rPr>
          <w:rFonts w:ascii="Times New Roman" w:hAnsi="Times New Roman"/>
          <w:i/>
          <w:iCs/>
          <w:sz w:val="24"/>
          <w:szCs w:val="24"/>
        </w:rPr>
        <w:t>.</w:t>
      </w:r>
      <w:r w:rsidRPr="005C6FBD">
        <w:rPr>
          <w:rFonts w:ascii="Times New Roman" w:hAnsi="Times New Roman"/>
          <w:sz w:val="24"/>
          <w:szCs w:val="24"/>
        </w:rPr>
        <w:t xml:space="preserve"> UNESCO-UNEVOC International Centre </w:t>
      </w:r>
      <w:proofErr w:type="spellStart"/>
      <w:r w:rsidRPr="005C6FBD">
        <w:rPr>
          <w:rFonts w:ascii="Times New Roman" w:hAnsi="Times New Roman"/>
          <w:sz w:val="24"/>
          <w:szCs w:val="24"/>
        </w:rPr>
        <w:t>for</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Technical</w:t>
      </w:r>
      <w:proofErr w:type="spellEnd"/>
      <w:r w:rsidRPr="005C6FBD">
        <w:rPr>
          <w:rFonts w:ascii="Times New Roman" w:hAnsi="Times New Roman"/>
          <w:sz w:val="24"/>
          <w:szCs w:val="24"/>
        </w:rPr>
        <w:t xml:space="preserve"> and </w:t>
      </w:r>
      <w:proofErr w:type="spellStart"/>
      <w:r w:rsidRPr="005C6FBD">
        <w:rPr>
          <w:rFonts w:ascii="Times New Roman" w:hAnsi="Times New Roman"/>
          <w:sz w:val="24"/>
          <w:szCs w:val="24"/>
        </w:rPr>
        <w:t>Vocational</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Education</w:t>
      </w:r>
      <w:proofErr w:type="spellEnd"/>
      <w:r w:rsidRPr="005C6FBD">
        <w:rPr>
          <w:rFonts w:ascii="Times New Roman" w:hAnsi="Times New Roman"/>
          <w:sz w:val="24"/>
          <w:szCs w:val="24"/>
        </w:rPr>
        <w:t xml:space="preserve"> and Training</w:t>
      </w:r>
      <w:r w:rsidRPr="005C6FBD">
        <w:rPr>
          <w:rFonts w:ascii="Times New Roman" w:hAnsi="Times New Roman"/>
          <w:color w:val="333333"/>
          <w:sz w:val="24"/>
          <w:szCs w:val="24"/>
        </w:rPr>
        <w:t xml:space="preserve">. </w:t>
      </w:r>
      <w:hyperlink r:id="rId17">
        <w:r w:rsidRPr="005C6FBD">
          <w:rPr>
            <w:rStyle w:val="Hipervnculo"/>
            <w:rFonts w:ascii="Times New Roman" w:hAnsi="Times New Roman"/>
            <w:sz w:val="24"/>
            <w:szCs w:val="24"/>
          </w:rPr>
          <w:t>https://unevoc.unesco.org/pub/trendsmapping_futureoftvetteaching.pdf</w:t>
        </w:r>
      </w:hyperlink>
    </w:p>
    <w:p w14:paraId="353D2BF6" w14:textId="5E144222" w:rsidR="2689E3B7" w:rsidRPr="005C6FBD" w:rsidRDefault="2689E3B7" w:rsidP="005C6FBD">
      <w:pPr>
        <w:spacing w:after="0" w:line="240" w:lineRule="auto"/>
        <w:ind w:left="426" w:hanging="426"/>
        <w:jc w:val="both"/>
        <w:rPr>
          <w:rFonts w:ascii="Times New Roman" w:hAnsi="Times New Roman"/>
          <w:color w:val="1E1919"/>
          <w:sz w:val="24"/>
          <w:szCs w:val="24"/>
        </w:rPr>
      </w:pPr>
    </w:p>
    <w:p w14:paraId="1B9F91AD" w14:textId="47F9C7AB" w:rsidR="2689E3B7" w:rsidRPr="005C6FBD" w:rsidRDefault="2689E3B7" w:rsidP="005C6FBD">
      <w:pPr>
        <w:spacing w:after="0" w:line="240" w:lineRule="auto"/>
        <w:ind w:left="426" w:hanging="426"/>
        <w:jc w:val="both"/>
        <w:rPr>
          <w:rFonts w:ascii="Times New Roman" w:hAnsi="Times New Roman"/>
          <w:sz w:val="24"/>
          <w:szCs w:val="24"/>
        </w:rPr>
      </w:pPr>
      <w:proofErr w:type="spellStart"/>
      <w:r w:rsidRPr="005C6FBD">
        <w:rPr>
          <w:rFonts w:ascii="Times New Roman" w:hAnsi="Times New Roman"/>
          <w:sz w:val="24"/>
          <w:szCs w:val="24"/>
        </w:rPr>
        <w:t>Usach</w:t>
      </w:r>
      <w:proofErr w:type="spellEnd"/>
      <w:r w:rsidRPr="005C6FBD">
        <w:rPr>
          <w:rFonts w:ascii="Times New Roman" w:hAnsi="Times New Roman"/>
          <w:sz w:val="24"/>
          <w:szCs w:val="24"/>
        </w:rPr>
        <w:t xml:space="preserve"> Pérez, I., </w:t>
      </w:r>
      <w:proofErr w:type="spellStart"/>
      <w:r w:rsidRPr="005C6FBD">
        <w:rPr>
          <w:rFonts w:ascii="Times New Roman" w:hAnsi="Times New Roman"/>
          <w:sz w:val="24"/>
          <w:szCs w:val="24"/>
        </w:rPr>
        <w:t>Taléns</w:t>
      </w:r>
      <w:proofErr w:type="spellEnd"/>
      <w:r w:rsidRPr="005C6FBD">
        <w:rPr>
          <w:rFonts w:ascii="Times New Roman" w:hAnsi="Times New Roman"/>
          <w:sz w:val="24"/>
          <w:szCs w:val="24"/>
        </w:rPr>
        <w:t xml:space="preserve">-Visconti, R. y Ruano Casado, L. (2020). La formación profesional a </w:t>
      </w:r>
      <w:proofErr w:type="spellStart"/>
      <w:proofErr w:type="gramStart"/>
      <w:r w:rsidRPr="005C6FBD">
        <w:rPr>
          <w:rFonts w:ascii="Times New Roman" w:hAnsi="Times New Roman"/>
          <w:sz w:val="24"/>
          <w:szCs w:val="24"/>
        </w:rPr>
        <w:t>distancia:nuevos</w:t>
      </w:r>
      <w:proofErr w:type="spellEnd"/>
      <w:proofErr w:type="gramEnd"/>
      <w:r w:rsidRPr="005C6FBD">
        <w:rPr>
          <w:rFonts w:ascii="Times New Roman" w:hAnsi="Times New Roman"/>
          <w:sz w:val="24"/>
          <w:szCs w:val="24"/>
        </w:rPr>
        <w:t xml:space="preserve"> alumnos, nuevos retos. </w:t>
      </w:r>
      <w:r w:rsidRPr="005C6FBD">
        <w:rPr>
          <w:rFonts w:ascii="Times New Roman" w:hAnsi="Times New Roman"/>
          <w:i/>
          <w:iCs/>
          <w:sz w:val="24"/>
          <w:szCs w:val="24"/>
        </w:rPr>
        <w:t>Tecnología, Ciencia y Educación,17</w:t>
      </w:r>
      <w:r w:rsidRPr="005C6FBD">
        <w:rPr>
          <w:rFonts w:ascii="Times New Roman" w:hAnsi="Times New Roman"/>
          <w:sz w:val="24"/>
          <w:szCs w:val="24"/>
        </w:rPr>
        <w:t>, 5-31</w:t>
      </w:r>
      <w:r w:rsidRPr="005C6FBD">
        <w:rPr>
          <w:rFonts w:ascii="Times New Roman" w:hAnsi="Times New Roman"/>
          <w:color w:val="1E1919"/>
          <w:sz w:val="24"/>
          <w:szCs w:val="24"/>
        </w:rPr>
        <w:t>.</w:t>
      </w:r>
      <w:hyperlink r:id="rId18">
        <w:r w:rsidRPr="005C6FBD">
          <w:rPr>
            <w:rStyle w:val="Hipervnculo"/>
            <w:rFonts w:ascii="Times New Roman" w:hAnsi="Times New Roman"/>
            <w:sz w:val="24"/>
            <w:szCs w:val="24"/>
          </w:rPr>
          <w:t>https://doi.org/10.51302/tce.2020.467</w:t>
        </w:r>
      </w:hyperlink>
    </w:p>
    <w:p w14:paraId="0425DCBB" w14:textId="6551CCF7" w:rsidR="2689E3B7" w:rsidRPr="005C6FBD" w:rsidRDefault="2689E3B7" w:rsidP="005C6FBD">
      <w:pPr>
        <w:spacing w:after="0" w:line="240" w:lineRule="auto"/>
        <w:ind w:left="426" w:hanging="426"/>
        <w:jc w:val="both"/>
        <w:rPr>
          <w:rFonts w:ascii="Times New Roman" w:hAnsi="Times New Roman"/>
          <w:color w:val="000000" w:themeColor="text1"/>
          <w:sz w:val="24"/>
          <w:szCs w:val="24"/>
        </w:rPr>
      </w:pPr>
    </w:p>
    <w:p w14:paraId="4959536C" w14:textId="244595B7" w:rsidR="2689E3B7" w:rsidRDefault="2689E3B7" w:rsidP="005C6FBD">
      <w:pPr>
        <w:spacing w:after="0" w:line="240" w:lineRule="auto"/>
        <w:ind w:left="426" w:hanging="426"/>
        <w:jc w:val="both"/>
        <w:rPr>
          <w:rFonts w:ascii="Times New Roman" w:hAnsi="Times New Roman"/>
          <w:sz w:val="24"/>
          <w:szCs w:val="24"/>
        </w:rPr>
      </w:pPr>
      <w:proofErr w:type="spellStart"/>
      <w:r w:rsidRPr="005C6FBD">
        <w:rPr>
          <w:rFonts w:ascii="Times New Roman" w:hAnsi="Times New Roman"/>
          <w:color w:val="000000" w:themeColor="text1"/>
          <w:sz w:val="24"/>
          <w:szCs w:val="24"/>
        </w:rPr>
        <w:t>Yu</w:t>
      </w:r>
      <w:r w:rsidRPr="005C6FBD">
        <w:rPr>
          <w:rFonts w:ascii="Times New Roman" w:hAnsi="Times New Roman"/>
          <w:sz w:val="24"/>
          <w:szCs w:val="24"/>
        </w:rPr>
        <w:t>k-Kwang</w:t>
      </w:r>
      <w:proofErr w:type="spellEnd"/>
      <w:r w:rsidRPr="005C6FBD">
        <w:rPr>
          <w:rFonts w:ascii="Times New Roman" w:hAnsi="Times New Roman"/>
          <w:sz w:val="24"/>
          <w:szCs w:val="24"/>
        </w:rPr>
        <w:t xml:space="preserve">, R., </w:t>
      </w:r>
      <w:proofErr w:type="spellStart"/>
      <w:r w:rsidRPr="005C6FBD">
        <w:rPr>
          <w:rFonts w:ascii="Times New Roman" w:hAnsi="Times New Roman"/>
          <w:sz w:val="24"/>
          <w:szCs w:val="24"/>
        </w:rPr>
        <w:t>Kwan-Keung</w:t>
      </w:r>
      <w:proofErr w:type="spellEnd"/>
      <w:r w:rsidRPr="005C6FBD">
        <w:rPr>
          <w:rFonts w:ascii="Times New Roman" w:hAnsi="Times New Roman"/>
          <w:sz w:val="24"/>
          <w:szCs w:val="24"/>
        </w:rPr>
        <w:t xml:space="preserve">, N., </w:t>
      </w:r>
      <w:proofErr w:type="spellStart"/>
      <w:r w:rsidRPr="005C6FBD">
        <w:rPr>
          <w:rFonts w:ascii="Times New Roman" w:hAnsi="Times New Roman"/>
          <w:sz w:val="24"/>
          <w:szCs w:val="24"/>
        </w:rPr>
        <w:t>Yee-Shun</w:t>
      </w:r>
      <w:proofErr w:type="spellEnd"/>
      <w:r w:rsidRPr="005C6FBD">
        <w:rPr>
          <w:rFonts w:ascii="Times New Roman" w:hAnsi="Times New Roman"/>
          <w:sz w:val="24"/>
          <w:szCs w:val="24"/>
        </w:rPr>
        <w:t xml:space="preserve">, R., &amp; Lee, L.-K. (2021). A </w:t>
      </w:r>
      <w:proofErr w:type="spellStart"/>
      <w:r w:rsidRPr="005C6FBD">
        <w:rPr>
          <w:rFonts w:ascii="Times New Roman" w:hAnsi="Times New Roman"/>
          <w:sz w:val="24"/>
          <w:szCs w:val="24"/>
        </w:rPr>
        <w:t>Study</w:t>
      </w:r>
      <w:proofErr w:type="spellEnd"/>
      <w:r w:rsidRPr="005C6FBD">
        <w:rPr>
          <w:rFonts w:ascii="Times New Roman" w:hAnsi="Times New Roman"/>
          <w:sz w:val="24"/>
          <w:szCs w:val="24"/>
        </w:rPr>
        <w:t xml:space="preserve"> of </w:t>
      </w:r>
      <w:proofErr w:type="spellStart"/>
      <w:r w:rsidRPr="005C6FBD">
        <w:rPr>
          <w:rFonts w:ascii="Times New Roman" w:hAnsi="Times New Roman"/>
          <w:sz w:val="24"/>
          <w:szCs w:val="24"/>
        </w:rPr>
        <w:t>Vocational</w:t>
      </w:r>
      <w:proofErr w:type="spellEnd"/>
      <w:r w:rsidRPr="005C6FBD">
        <w:rPr>
          <w:rFonts w:ascii="Times New Roman" w:hAnsi="Times New Roman"/>
          <w:sz w:val="24"/>
          <w:szCs w:val="24"/>
        </w:rPr>
        <w:t xml:space="preserve"> and Professional </w:t>
      </w:r>
      <w:proofErr w:type="spellStart"/>
      <w:r w:rsidRPr="005C6FBD">
        <w:rPr>
          <w:rFonts w:ascii="Times New Roman" w:hAnsi="Times New Roman"/>
          <w:sz w:val="24"/>
          <w:szCs w:val="24"/>
        </w:rPr>
        <w:t>Education</w:t>
      </w:r>
      <w:proofErr w:type="spellEnd"/>
      <w:r w:rsidRPr="005C6FBD">
        <w:rPr>
          <w:rFonts w:ascii="Times New Roman" w:hAnsi="Times New Roman"/>
          <w:sz w:val="24"/>
          <w:szCs w:val="24"/>
        </w:rPr>
        <w:t xml:space="preserve"> and Training (VPET) </w:t>
      </w:r>
      <w:proofErr w:type="spellStart"/>
      <w:r w:rsidRPr="005C6FBD">
        <w:rPr>
          <w:rFonts w:ascii="Times New Roman" w:hAnsi="Times New Roman"/>
          <w:sz w:val="24"/>
          <w:szCs w:val="24"/>
        </w:rPr>
        <w:t>Students</w:t>
      </w:r>
      <w:proofErr w:type="spellEnd"/>
      <w:r w:rsidRPr="005C6FBD">
        <w:rPr>
          <w:rFonts w:ascii="Times New Roman" w:hAnsi="Times New Roman"/>
          <w:sz w:val="24"/>
          <w:szCs w:val="24"/>
        </w:rPr>
        <w:t xml:space="preserve">’ Online </w:t>
      </w:r>
      <w:proofErr w:type="spellStart"/>
      <w:r w:rsidRPr="005C6FBD">
        <w:rPr>
          <w:rFonts w:ascii="Times New Roman" w:hAnsi="Times New Roman"/>
          <w:sz w:val="24"/>
          <w:szCs w:val="24"/>
        </w:rPr>
        <w:t>Learning</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Experience</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during</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the</w:t>
      </w:r>
      <w:proofErr w:type="spellEnd"/>
      <w:r w:rsidRPr="005C6FBD">
        <w:rPr>
          <w:rFonts w:ascii="Times New Roman" w:hAnsi="Times New Roman"/>
          <w:sz w:val="24"/>
          <w:szCs w:val="24"/>
        </w:rPr>
        <w:t xml:space="preserve"> </w:t>
      </w:r>
      <w:proofErr w:type="spellStart"/>
      <w:r w:rsidRPr="005C6FBD">
        <w:rPr>
          <w:rFonts w:ascii="Times New Roman" w:hAnsi="Times New Roman"/>
          <w:sz w:val="24"/>
          <w:szCs w:val="24"/>
        </w:rPr>
        <w:t>Outbreak</w:t>
      </w:r>
      <w:proofErr w:type="spellEnd"/>
      <w:r w:rsidRPr="005C6FBD">
        <w:rPr>
          <w:rFonts w:ascii="Times New Roman" w:hAnsi="Times New Roman"/>
          <w:sz w:val="24"/>
          <w:szCs w:val="24"/>
        </w:rPr>
        <w:t xml:space="preserve"> of </w:t>
      </w:r>
      <w:proofErr w:type="spellStart"/>
      <w:r w:rsidRPr="005C6FBD">
        <w:rPr>
          <w:rFonts w:ascii="Times New Roman" w:hAnsi="Times New Roman"/>
          <w:sz w:val="24"/>
          <w:szCs w:val="24"/>
        </w:rPr>
        <w:t>Pandemic</w:t>
      </w:r>
      <w:proofErr w:type="spellEnd"/>
      <w:r w:rsidRPr="005C6FBD">
        <w:rPr>
          <w:rFonts w:ascii="Times New Roman" w:hAnsi="Times New Roman"/>
          <w:sz w:val="24"/>
          <w:szCs w:val="24"/>
        </w:rPr>
        <w:t>.</w:t>
      </w:r>
      <w:r w:rsidRPr="005C6FBD">
        <w:rPr>
          <w:rFonts w:ascii="Times New Roman" w:hAnsi="Times New Roman"/>
          <w:i/>
          <w:iCs/>
          <w:sz w:val="24"/>
          <w:szCs w:val="24"/>
        </w:rPr>
        <w:t xml:space="preserve"> International </w:t>
      </w:r>
      <w:proofErr w:type="spellStart"/>
      <w:r w:rsidRPr="005C6FBD">
        <w:rPr>
          <w:rFonts w:ascii="Times New Roman" w:hAnsi="Times New Roman"/>
          <w:i/>
          <w:iCs/>
          <w:sz w:val="24"/>
          <w:szCs w:val="24"/>
        </w:rPr>
        <w:t>Symposium</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on</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Educational</w:t>
      </w:r>
      <w:proofErr w:type="spellEnd"/>
      <w:r w:rsidRPr="005C6FBD">
        <w:rPr>
          <w:rFonts w:ascii="Times New Roman" w:hAnsi="Times New Roman"/>
          <w:i/>
          <w:iCs/>
          <w:sz w:val="24"/>
          <w:szCs w:val="24"/>
        </w:rPr>
        <w:t xml:space="preserve"> </w:t>
      </w:r>
      <w:proofErr w:type="spellStart"/>
      <w:r w:rsidRPr="005C6FBD">
        <w:rPr>
          <w:rFonts w:ascii="Times New Roman" w:hAnsi="Times New Roman"/>
          <w:i/>
          <w:iCs/>
          <w:sz w:val="24"/>
          <w:szCs w:val="24"/>
        </w:rPr>
        <w:t>Technology</w:t>
      </w:r>
      <w:proofErr w:type="spellEnd"/>
      <w:r w:rsidRPr="005C6FBD">
        <w:rPr>
          <w:rFonts w:ascii="Times New Roman" w:hAnsi="Times New Roman"/>
          <w:i/>
          <w:iCs/>
          <w:sz w:val="24"/>
          <w:szCs w:val="24"/>
        </w:rPr>
        <w:t xml:space="preserve"> (ISET)</w:t>
      </w:r>
      <w:r w:rsidRPr="005C6FBD">
        <w:rPr>
          <w:rFonts w:ascii="Times New Roman" w:hAnsi="Times New Roman"/>
          <w:sz w:val="24"/>
          <w:szCs w:val="24"/>
        </w:rPr>
        <w:t>, 2021, 89-95.</w:t>
      </w:r>
      <w:r w:rsidRPr="005C6FBD">
        <w:rPr>
          <w:rFonts w:ascii="Times New Roman" w:hAnsi="Times New Roman"/>
          <w:color w:val="333333"/>
          <w:sz w:val="24"/>
          <w:szCs w:val="24"/>
        </w:rPr>
        <w:t xml:space="preserve"> </w:t>
      </w:r>
      <w:hyperlink r:id="rId19">
        <w:r w:rsidRPr="005C6FBD">
          <w:rPr>
            <w:rStyle w:val="Hipervnculo"/>
            <w:rFonts w:ascii="Times New Roman" w:hAnsi="Times New Roman"/>
            <w:sz w:val="24"/>
            <w:szCs w:val="24"/>
            <w:lang w:val="en-US"/>
          </w:rPr>
          <w:t>https://doi.org/</w:t>
        </w:r>
        <w:r w:rsidRPr="005C6FBD">
          <w:rPr>
            <w:rStyle w:val="Hipervnculo"/>
            <w:rFonts w:ascii="Times New Roman" w:hAnsi="Times New Roman"/>
            <w:sz w:val="24"/>
            <w:szCs w:val="24"/>
          </w:rPr>
          <w:t>10.1109/ISET52350.2021.00028</w:t>
        </w:r>
      </w:hyperlink>
    </w:p>
    <w:p w14:paraId="436A1D5F" w14:textId="10C373F9" w:rsidR="2689E3B7" w:rsidRDefault="2689E3B7" w:rsidP="005C6FBD">
      <w:pPr>
        <w:spacing w:after="0" w:line="240" w:lineRule="auto"/>
        <w:ind w:left="426" w:hanging="426"/>
        <w:jc w:val="both"/>
        <w:rPr>
          <w:rFonts w:ascii="Times New Roman" w:hAnsi="Times New Roman"/>
          <w:color w:val="333333"/>
          <w:sz w:val="24"/>
          <w:szCs w:val="24"/>
        </w:rPr>
      </w:pPr>
    </w:p>
    <w:p w14:paraId="0B68B4BD" w14:textId="5DDB487E" w:rsidR="2689E3B7" w:rsidRDefault="2689E3B7" w:rsidP="005C6FBD">
      <w:pPr>
        <w:spacing w:after="0" w:line="240" w:lineRule="auto"/>
        <w:ind w:left="426" w:hanging="426"/>
        <w:jc w:val="both"/>
        <w:rPr>
          <w:rFonts w:ascii="Times New Roman" w:hAnsi="Times New Roman"/>
          <w:sz w:val="24"/>
          <w:szCs w:val="24"/>
        </w:rPr>
      </w:pPr>
    </w:p>
    <w:p w14:paraId="3434E538" w14:textId="64DC9D0F" w:rsidR="2689E3B7" w:rsidRDefault="2689E3B7" w:rsidP="005C6FBD">
      <w:pPr>
        <w:spacing w:after="0" w:line="240" w:lineRule="auto"/>
        <w:ind w:left="426" w:hanging="426"/>
        <w:jc w:val="both"/>
        <w:rPr>
          <w:rFonts w:ascii="Times New Roman" w:hAnsi="Times New Roman"/>
          <w:color w:val="000000" w:themeColor="text1"/>
          <w:sz w:val="24"/>
          <w:szCs w:val="24"/>
        </w:rPr>
      </w:pPr>
    </w:p>
    <w:sectPr w:rsidR="2689E3B7" w:rsidSect="00691D9A">
      <w:headerReference w:type="default" r:id="rId20"/>
      <w:footerReference w:type="default" r:id="rId21"/>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E369" w14:textId="77777777" w:rsidR="00FF06D1" w:rsidRDefault="00FF06D1" w:rsidP="003A1870">
      <w:pPr>
        <w:spacing w:after="0" w:line="240" w:lineRule="auto"/>
      </w:pPr>
      <w:r>
        <w:separator/>
      </w:r>
    </w:p>
  </w:endnote>
  <w:endnote w:type="continuationSeparator" w:id="0">
    <w:p w14:paraId="321FF02F" w14:textId="77777777" w:rsidR="00FF06D1" w:rsidRDefault="00FF06D1"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E735AF3" w14:paraId="7AAF4388" w14:textId="77777777" w:rsidTr="4E735AF3">
      <w:trPr>
        <w:trHeight w:val="300"/>
      </w:trPr>
      <w:tc>
        <w:tcPr>
          <w:tcW w:w="3020" w:type="dxa"/>
        </w:tcPr>
        <w:p w14:paraId="0A708000" w14:textId="5BCBA9B4" w:rsidR="4E735AF3" w:rsidRDefault="4E735AF3" w:rsidP="4E735AF3">
          <w:pPr>
            <w:pStyle w:val="Encabezado"/>
            <w:ind w:left="-115"/>
          </w:pPr>
        </w:p>
      </w:tc>
      <w:tc>
        <w:tcPr>
          <w:tcW w:w="3020" w:type="dxa"/>
        </w:tcPr>
        <w:p w14:paraId="1F4B7E03" w14:textId="52D40942" w:rsidR="4E735AF3" w:rsidRDefault="4E735AF3" w:rsidP="4E735AF3">
          <w:pPr>
            <w:pStyle w:val="Encabezado"/>
            <w:jc w:val="center"/>
          </w:pPr>
        </w:p>
      </w:tc>
      <w:tc>
        <w:tcPr>
          <w:tcW w:w="3020" w:type="dxa"/>
        </w:tcPr>
        <w:p w14:paraId="3F36FBBC" w14:textId="7BBCE580" w:rsidR="4E735AF3" w:rsidRDefault="4E735AF3" w:rsidP="4E735AF3">
          <w:pPr>
            <w:pStyle w:val="Encabezado"/>
            <w:ind w:right="-115"/>
            <w:jc w:val="right"/>
          </w:pPr>
        </w:p>
      </w:tc>
    </w:tr>
  </w:tbl>
  <w:p w14:paraId="1D6D437E" w14:textId="6B94206D" w:rsidR="4E735AF3" w:rsidRDefault="4E735AF3" w:rsidP="4E735A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3F7B" w14:textId="77777777" w:rsidR="00FF06D1" w:rsidRDefault="00FF06D1" w:rsidP="003A1870">
      <w:pPr>
        <w:spacing w:after="0" w:line="240" w:lineRule="auto"/>
      </w:pPr>
      <w:r>
        <w:separator/>
      </w:r>
    </w:p>
  </w:footnote>
  <w:footnote w:type="continuationSeparator" w:id="0">
    <w:p w14:paraId="1885450A" w14:textId="77777777" w:rsidR="00FF06D1" w:rsidRDefault="00FF06D1"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370"/>
    <w:multiLevelType w:val="hybridMultilevel"/>
    <w:tmpl w:val="66C06FF4"/>
    <w:lvl w:ilvl="0" w:tplc="6DB67680">
      <w:start w:val="10"/>
      <w:numFmt w:val="bullet"/>
      <w:lvlText w:val=""/>
      <w:lvlJc w:val="left"/>
      <w:pPr>
        <w:ind w:left="420" w:hanging="360"/>
      </w:pPr>
      <w:rPr>
        <w:rFonts w:ascii="Symbol" w:eastAsia="Times New Roman" w:hAnsi="Symbol" w:cs="Times New Roman" w:hint="default"/>
        <w:b/>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81943"/>
    <w:multiLevelType w:val="hybridMultilevel"/>
    <w:tmpl w:val="6D829C90"/>
    <w:lvl w:ilvl="0" w:tplc="CC568064">
      <w:start w:val="1"/>
      <w:numFmt w:val="bullet"/>
      <w:lvlText w:val=""/>
      <w:lvlJc w:val="left"/>
      <w:pPr>
        <w:ind w:left="720" w:hanging="360"/>
      </w:pPr>
      <w:rPr>
        <w:rFonts w:ascii="Symbol" w:hAnsi="Symbol" w:hint="default"/>
      </w:rPr>
    </w:lvl>
    <w:lvl w:ilvl="1" w:tplc="E672456E">
      <w:start w:val="1"/>
      <w:numFmt w:val="bullet"/>
      <w:lvlText w:val="o"/>
      <w:lvlJc w:val="left"/>
      <w:pPr>
        <w:ind w:left="1440" w:hanging="360"/>
      </w:pPr>
      <w:rPr>
        <w:rFonts w:ascii="Courier New" w:hAnsi="Courier New" w:hint="default"/>
      </w:rPr>
    </w:lvl>
    <w:lvl w:ilvl="2" w:tplc="EA10F906">
      <w:start w:val="1"/>
      <w:numFmt w:val="bullet"/>
      <w:lvlText w:val=""/>
      <w:lvlJc w:val="left"/>
      <w:pPr>
        <w:ind w:left="2160" w:hanging="360"/>
      </w:pPr>
      <w:rPr>
        <w:rFonts w:ascii="Wingdings" w:hAnsi="Wingdings" w:hint="default"/>
      </w:rPr>
    </w:lvl>
    <w:lvl w:ilvl="3" w:tplc="22A0D024">
      <w:start w:val="1"/>
      <w:numFmt w:val="bullet"/>
      <w:lvlText w:val=""/>
      <w:lvlJc w:val="left"/>
      <w:pPr>
        <w:ind w:left="2880" w:hanging="360"/>
      </w:pPr>
      <w:rPr>
        <w:rFonts w:ascii="Symbol" w:hAnsi="Symbol" w:hint="default"/>
      </w:rPr>
    </w:lvl>
    <w:lvl w:ilvl="4" w:tplc="A7B8DDBE">
      <w:start w:val="1"/>
      <w:numFmt w:val="bullet"/>
      <w:lvlText w:val="o"/>
      <w:lvlJc w:val="left"/>
      <w:pPr>
        <w:ind w:left="3600" w:hanging="360"/>
      </w:pPr>
      <w:rPr>
        <w:rFonts w:ascii="Courier New" w:hAnsi="Courier New" w:hint="default"/>
      </w:rPr>
    </w:lvl>
    <w:lvl w:ilvl="5" w:tplc="5948B50C">
      <w:start w:val="1"/>
      <w:numFmt w:val="bullet"/>
      <w:lvlText w:val=""/>
      <w:lvlJc w:val="left"/>
      <w:pPr>
        <w:ind w:left="4320" w:hanging="360"/>
      </w:pPr>
      <w:rPr>
        <w:rFonts w:ascii="Wingdings" w:hAnsi="Wingdings" w:hint="default"/>
      </w:rPr>
    </w:lvl>
    <w:lvl w:ilvl="6" w:tplc="0512EFFA">
      <w:start w:val="1"/>
      <w:numFmt w:val="bullet"/>
      <w:lvlText w:val=""/>
      <w:lvlJc w:val="left"/>
      <w:pPr>
        <w:ind w:left="5040" w:hanging="360"/>
      </w:pPr>
      <w:rPr>
        <w:rFonts w:ascii="Symbol" w:hAnsi="Symbol" w:hint="default"/>
      </w:rPr>
    </w:lvl>
    <w:lvl w:ilvl="7" w:tplc="D4D457C0">
      <w:start w:val="1"/>
      <w:numFmt w:val="bullet"/>
      <w:lvlText w:val="o"/>
      <w:lvlJc w:val="left"/>
      <w:pPr>
        <w:ind w:left="5760" w:hanging="360"/>
      </w:pPr>
      <w:rPr>
        <w:rFonts w:ascii="Courier New" w:hAnsi="Courier New" w:hint="default"/>
      </w:rPr>
    </w:lvl>
    <w:lvl w:ilvl="8" w:tplc="E1089B2A">
      <w:start w:val="1"/>
      <w:numFmt w:val="bullet"/>
      <w:lvlText w:val=""/>
      <w:lvlJc w:val="left"/>
      <w:pPr>
        <w:ind w:left="6480" w:hanging="360"/>
      </w:pPr>
      <w:rPr>
        <w:rFonts w:ascii="Wingdings" w:hAnsi="Wingdings" w:hint="default"/>
      </w:r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973F7"/>
    <w:rsid w:val="00121204"/>
    <w:rsid w:val="00124DA9"/>
    <w:rsid w:val="00152D97"/>
    <w:rsid w:val="00153AFF"/>
    <w:rsid w:val="00156522"/>
    <w:rsid w:val="00174B22"/>
    <w:rsid w:val="001A4A47"/>
    <w:rsid w:val="001B796B"/>
    <w:rsid w:val="00261C7E"/>
    <w:rsid w:val="00267054"/>
    <w:rsid w:val="002773E8"/>
    <w:rsid w:val="0028110D"/>
    <w:rsid w:val="00285667"/>
    <w:rsid w:val="002A457A"/>
    <w:rsid w:val="002B4C82"/>
    <w:rsid w:val="002B7CA3"/>
    <w:rsid w:val="002D483B"/>
    <w:rsid w:val="0030782A"/>
    <w:rsid w:val="00370D25"/>
    <w:rsid w:val="003848CC"/>
    <w:rsid w:val="00395096"/>
    <w:rsid w:val="003A1870"/>
    <w:rsid w:val="003B43E3"/>
    <w:rsid w:val="003B70B6"/>
    <w:rsid w:val="003D6EC3"/>
    <w:rsid w:val="004101C6"/>
    <w:rsid w:val="00423E1C"/>
    <w:rsid w:val="00430D6C"/>
    <w:rsid w:val="00433C7D"/>
    <w:rsid w:val="00467248"/>
    <w:rsid w:val="00491C0D"/>
    <w:rsid w:val="004931BD"/>
    <w:rsid w:val="005968F8"/>
    <w:rsid w:val="005C6FBD"/>
    <w:rsid w:val="005C7E9C"/>
    <w:rsid w:val="005F5030"/>
    <w:rsid w:val="00633E43"/>
    <w:rsid w:val="006363FD"/>
    <w:rsid w:val="0064416C"/>
    <w:rsid w:val="00691D9A"/>
    <w:rsid w:val="006D4B7C"/>
    <w:rsid w:val="006E0BAF"/>
    <w:rsid w:val="006E6A0E"/>
    <w:rsid w:val="007078F7"/>
    <w:rsid w:val="00711F4B"/>
    <w:rsid w:val="0071605E"/>
    <w:rsid w:val="0075027A"/>
    <w:rsid w:val="007703E8"/>
    <w:rsid w:val="007E44C0"/>
    <w:rsid w:val="00827AAE"/>
    <w:rsid w:val="0083462A"/>
    <w:rsid w:val="0087253A"/>
    <w:rsid w:val="00895C22"/>
    <w:rsid w:val="008B01A3"/>
    <w:rsid w:val="008F0210"/>
    <w:rsid w:val="00923610"/>
    <w:rsid w:val="00924A49"/>
    <w:rsid w:val="00926E07"/>
    <w:rsid w:val="00946CCC"/>
    <w:rsid w:val="00947763"/>
    <w:rsid w:val="00954D5C"/>
    <w:rsid w:val="009C0B9E"/>
    <w:rsid w:val="009C2FDF"/>
    <w:rsid w:val="00A020A3"/>
    <w:rsid w:val="00A061C3"/>
    <w:rsid w:val="00A10331"/>
    <w:rsid w:val="00A400A7"/>
    <w:rsid w:val="00A713D0"/>
    <w:rsid w:val="00A83EDD"/>
    <w:rsid w:val="00A86C41"/>
    <w:rsid w:val="00AC7DAE"/>
    <w:rsid w:val="00AD5BCA"/>
    <w:rsid w:val="00AD7E17"/>
    <w:rsid w:val="00AF1DB7"/>
    <w:rsid w:val="00B57162"/>
    <w:rsid w:val="00BB28B3"/>
    <w:rsid w:val="00BB5412"/>
    <w:rsid w:val="00BC7D48"/>
    <w:rsid w:val="00BE1BA6"/>
    <w:rsid w:val="00C224C3"/>
    <w:rsid w:val="00C242E1"/>
    <w:rsid w:val="00C275B9"/>
    <w:rsid w:val="00C360E9"/>
    <w:rsid w:val="00C45F02"/>
    <w:rsid w:val="00C4704F"/>
    <w:rsid w:val="00C93CDF"/>
    <w:rsid w:val="00CA5396"/>
    <w:rsid w:val="00CD2C54"/>
    <w:rsid w:val="00CF08D7"/>
    <w:rsid w:val="00D326AE"/>
    <w:rsid w:val="00D57FCD"/>
    <w:rsid w:val="00DA403F"/>
    <w:rsid w:val="00E03395"/>
    <w:rsid w:val="00E07B1D"/>
    <w:rsid w:val="00E50E04"/>
    <w:rsid w:val="00E6124E"/>
    <w:rsid w:val="00E84C03"/>
    <w:rsid w:val="00E84D6F"/>
    <w:rsid w:val="00E9275E"/>
    <w:rsid w:val="00EA5B16"/>
    <w:rsid w:val="00ED7394"/>
    <w:rsid w:val="00EE2AD6"/>
    <w:rsid w:val="00F1098E"/>
    <w:rsid w:val="00F303E1"/>
    <w:rsid w:val="00F42269"/>
    <w:rsid w:val="00F55A6A"/>
    <w:rsid w:val="00F6365B"/>
    <w:rsid w:val="00F704C7"/>
    <w:rsid w:val="00F93377"/>
    <w:rsid w:val="00FA3299"/>
    <w:rsid w:val="00FF06D1"/>
    <w:rsid w:val="102A414A"/>
    <w:rsid w:val="1CEEED8E"/>
    <w:rsid w:val="2689E3B7"/>
    <w:rsid w:val="39C17B5D"/>
    <w:rsid w:val="4E735AF3"/>
    <w:rsid w:val="6851F266"/>
    <w:rsid w:val="763DA0C5"/>
    <w:rsid w:val="7A5DE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3"/>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3"/>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3"/>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3"/>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3"/>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3"/>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3"/>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3"/>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3"/>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rFonts w:cs="Times New Roman"/>
      <w:sz w:val="20"/>
      <w:szCs w:val="20"/>
    </w:rPr>
  </w:style>
  <w:style w:type="character" w:styleId="Refdecomentario">
    <w:name w:val="annotation reference"/>
    <w:basedOn w:val="Fuentedeprrafopredeter"/>
    <w:uiPriority w:val="99"/>
    <w:rPr>
      <w:sz w:val="16"/>
      <w:szCs w:val="16"/>
    </w:rPr>
  </w:style>
  <w:style w:type="paragraph" w:customStyle="1" w:styleId="paragraph">
    <w:name w:val="paragraph"/>
    <w:basedOn w:val="Normal"/>
    <w:rsid w:val="00AD7E17"/>
    <w:pPr>
      <w:spacing w:before="100" w:beforeAutospacing="1" w:after="100" w:afterAutospacing="1" w:line="240" w:lineRule="auto"/>
    </w:pPr>
    <w:rPr>
      <w:rFonts w:ascii="Times New Roman" w:hAnsi="Times New Roman"/>
      <w:sz w:val="24"/>
      <w:szCs w:val="24"/>
      <w:lang w:eastAsia="es-ES_tradnl"/>
    </w:rPr>
  </w:style>
  <w:style w:type="character" w:customStyle="1" w:styleId="normaltextrun">
    <w:name w:val="normaltextrun"/>
    <w:basedOn w:val="Fuentedeprrafopredeter"/>
    <w:rsid w:val="00AD7E17"/>
  </w:style>
  <w:style w:type="character" w:customStyle="1" w:styleId="eop">
    <w:name w:val="eop"/>
    <w:basedOn w:val="Fuentedeprrafopredeter"/>
    <w:rsid w:val="00AD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2040816325">
      <w:bodyDiv w:val="1"/>
      <w:marLeft w:val="0"/>
      <w:marRight w:val="0"/>
      <w:marTop w:val="0"/>
      <w:marBottom w:val="0"/>
      <w:divBdr>
        <w:top w:val="none" w:sz="0" w:space="0" w:color="auto"/>
        <w:left w:val="none" w:sz="0" w:space="0" w:color="auto"/>
        <w:bottom w:val="none" w:sz="0" w:space="0" w:color="auto"/>
        <w:right w:val="none" w:sz="0" w:space="0" w:color="auto"/>
      </w:divBdr>
      <w:divsChild>
        <w:div w:id="523979668">
          <w:marLeft w:val="0"/>
          <w:marRight w:val="0"/>
          <w:marTop w:val="0"/>
          <w:marBottom w:val="0"/>
          <w:divBdr>
            <w:top w:val="none" w:sz="0" w:space="0" w:color="auto"/>
            <w:left w:val="none" w:sz="0" w:space="0" w:color="auto"/>
            <w:bottom w:val="none" w:sz="0" w:space="0" w:color="auto"/>
            <w:right w:val="none" w:sz="0" w:space="0" w:color="auto"/>
          </w:divBdr>
          <w:divsChild>
            <w:div w:id="1881817013">
              <w:marLeft w:val="0"/>
              <w:marRight w:val="0"/>
              <w:marTop w:val="0"/>
              <w:marBottom w:val="0"/>
              <w:divBdr>
                <w:top w:val="none" w:sz="0" w:space="0" w:color="auto"/>
                <w:left w:val="none" w:sz="0" w:space="0" w:color="auto"/>
                <w:bottom w:val="none" w:sz="0" w:space="0" w:color="auto"/>
                <w:right w:val="none" w:sz="0" w:space="0" w:color="auto"/>
              </w:divBdr>
              <w:divsChild>
                <w:div w:id="972830243">
                  <w:marLeft w:val="0"/>
                  <w:marRight w:val="0"/>
                  <w:marTop w:val="0"/>
                  <w:marBottom w:val="0"/>
                  <w:divBdr>
                    <w:top w:val="none" w:sz="0" w:space="0" w:color="auto"/>
                    <w:left w:val="none" w:sz="0" w:space="0" w:color="auto"/>
                    <w:bottom w:val="none" w:sz="0" w:space="0" w:color="auto"/>
                    <w:right w:val="none" w:sz="0" w:space="0" w:color="auto"/>
                  </w:divBdr>
                  <w:divsChild>
                    <w:div w:id="2085032373">
                      <w:marLeft w:val="0"/>
                      <w:marRight w:val="0"/>
                      <w:marTop w:val="0"/>
                      <w:marBottom w:val="0"/>
                      <w:divBdr>
                        <w:top w:val="none" w:sz="0" w:space="0" w:color="auto"/>
                        <w:left w:val="none" w:sz="0" w:space="0" w:color="auto"/>
                        <w:bottom w:val="none" w:sz="0" w:space="0" w:color="auto"/>
                        <w:right w:val="none" w:sz="0" w:space="0" w:color="auto"/>
                      </w:divBdr>
                      <w:divsChild>
                        <w:div w:id="303319031">
                          <w:marLeft w:val="0"/>
                          <w:marRight w:val="0"/>
                          <w:marTop w:val="0"/>
                          <w:marBottom w:val="0"/>
                          <w:divBdr>
                            <w:top w:val="none" w:sz="0" w:space="0" w:color="auto"/>
                            <w:left w:val="none" w:sz="0" w:space="0" w:color="auto"/>
                            <w:bottom w:val="none" w:sz="0" w:space="0" w:color="auto"/>
                            <w:right w:val="none" w:sz="0" w:space="0" w:color="auto"/>
                          </w:divBdr>
                        </w:div>
                      </w:divsChild>
                    </w:div>
                    <w:div w:id="243998127">
                      <w:marLeft w:val="0"/>
                      <w:marRight w:val="0"/>
                      <w:marTop w:val="0"/>
                      <w:marBottom w:val="0"/>
                      <w:divBdr>
                        <w:top w:val="none" w:sz="0" w:space="0" w:color="auto"/>
                        <w:left w:val="none" w:sz="0" w:space="0" w:color="auto"/>
                        <w:bottom w:val="none" w:sz="0" w:space="0" w:color="auto"/>
                        <w:right w:val="none" w:sz="0" w:space="0" w:color="auto"/>
                      </w:divBdr>
                      <w:divsChild>
                        <w:div w:id="1716931459">
                          <w:marLeft w:val="0"/>
                          <w:marRight w:val="0"/>
                          <w:marTop w:val="0"/>
                          <w:marBottom w:val="0"/>
                          <w:divBdr>
                            <w:top w:val="none" w:sz="0" w:space="0" w:color="auto"/>
                            <w:left w:val="none" w:sz="0" w:space="0" w:color="auto"/>
                            <w:bottom w:val="none" w:sz="0" w:space="0" w:color="auto"/>
                            <w:right w:val="none" w:sz="0" w:space="0" w:color="auto"/>
                          </w:divBdr>
                        </w:div>
                      </w:divsChild>
                    </w:div>
                    <w:div w:id="2131119839">
                      <w:marLeft w:val="0"/>
                      <w:marRight w:val="0"/>
                      <w:marTop w:val="0"/>
                      <w:marBottom w:val="0"/>
                      <w:divBdr>
                        <w:top w:val="none" w:sz="0" w:space="0" w:color="auto"/>
                        <w:left w:val="none" w:sz="0" w:space="0" w:color="auto"/>
                        <w:bottom w:val="none" w:sz="0" w:space="0" w:color="auto"/>
                        <w:right w:val="none" w:sz="0" w:space="0" w:color="auto"/>
                      </w:divBdr>
                      <w:divsChild>
                        <w:div w:id="1529292202">
                          <w:marLeft w:val="0"/>
                          <w:marRight w:val="0"/>
                          <w:marTop w:val="0"/>
                          <w:marBottom w:val="0"/>
                          <w:divBdr>
                            <w:top w:val="none" w:sz="0" w:space="0" w:color="auto"/>
                            <w:left w:val="none" w:sz="0" w:space="0" w:color="auto"/>
                            <w:bottom w:val="none" w:sz="0" w:space="0" w:color="auto"/>
                            <w:right w:val="none" w:sz="0" w:space="0" w:color="auto"/>
                          </w:divBdr>
                        </w:div>
                      </w:divsChild>
                    </w:div>
                    <w:div w:id="991788073">
                      <w:marLeft w:val="0"/>
                      <w:marRight w:val="0"/>
                      <w:marTop w:val="0"/>
                      <w:marBottom w:val="0"/>
                      <w:divBdr>
                        <w:top w:val="none" w:sz="0" w:space="0" w:color="auto"/>
                        <w:left w:val="none" w:sz="0" w:space="0" w:color="auto"/>
                        <w:bottom w:val="none" w:sz="0" w:space="0" w:color="auto"/>
                        <w:right w:val="none" w:sz="0" w:space="0" w:color="auto"/>
                      </w:divBdr>
                      <w:divsChild>
                        <w:div w:id="1382553086">
                          <w:marLeft w:val="0"/>
                          <w:marRight w:val="0"/>
                          <w:marTop w:val="0"/>
                          <w:marBottom w:val="0"/>
                          <w:divBdr>
                            <w:top w:val="none" w:sz="0" w:space="0" w:color="auto"/>
                            <w:left w:val="none" w:sz="0" w:space="0" w:color="auto"/>
                            <w:bottom w:val="none" w:sz="0" w:space="0" w:color="auto"/>
                            <w:right w:val="none" w:sz="0" w:space="0" w:color="auto"/>
                          </w:divBdr>
                        </w:div>
                      </w:divsChild>
                    </w:div>
                    <w:div w:id="1374186794">
                      <w:marLeft w:val="0"/>
                      <w:marRight w:val="0"/>
                      <w:marTop w:val="0"/>
                      <w:marBottom w:val="0"/>
                      <w:divBdr>
                        <w:top w:val="none" w:sz="0" w:space="0" w:color="auto"/>
                        <w:left w:val="none" w:sz="0" w:space="0" w:color="auto"/>
                        <w:bottom w:val="none" w:sz="0" w:space="0" w:color="auto"/>
                        <w:right w:val="none" w:sz="0" w:space="0" w:color="auto"/>
                      </w:divBdr>
                      <w:divsChild>
                        <w:div w:id="1562137735">
                          <w:marLeft w:val="0"/>
                          <w:marRight w:val="0"/>
                          <w:marTop w:val="0"/>
                          <w:marBottom w:val="0"/>
                          <w:divBdr>
                            <w:top w:val="none" w:sz="0" w:space="0" w:color="auto"/>
                            <w:left w:val="none" w:sz="0" w:space="0" w:color="auto"/>
                            <w:bottom w:val="none" w:sz="0" w:space="0" w:color="auto"/>
                            <w:right w:val="none" w:sz="0" w:space="0" w:color="auto"/>
                          </w:divBdr>
                        </w:div>
                      </w:divsChild>
                    </w:div>
                    <w:div w:id="735857849">
                      <w:marLeft w:val="0"/>
                      <w:marRight w:val="0"/>
                      <w:marTop w:val="0"/>
                      <w:marBottom w:val="0"/>
                      <w:divBdr>
                        <w:top w:val="none" w:sz="0" w:space="0" w:color="auto"/>
                        <w:left w:val="none" w:sz="0" w:space="0" w:color="auto"/>
                        <w:bottom w:val="none" w:sz="0" w:space="0" w:color="auto"/>
                        <w:right w:val="none" w:sz="0" w:space="0" w:color="auto"/>
                      </w:divBdr>
                      <w:divsChild>
                        <w:div w:id="2101608472">
                          <w:marLeft w:val="0"/>
                          <w:marRight w:val="0"/>
                          <w:marTop w:val="0"/>
                          <w:marBottom w:val="0"/>
                          <w:divBdr>
                            <w:top w:val="none" w:sz="0" w:space="0" w:color="auto"/>
                            <w:left w:val="none" w:sz="0" w:space="0" w:color="auto"/>
                            <w:bottom w:val="none" w:sz="0" w:space="0" w:color="auto"/>
                            <w:right w:val="none" w:sz="0" w:space="0" w:color="auto"/>
                          </w:divBdr>
                        </w:div>
                      </w:divsChild>
                    </w:div>
                    <w:div w:id="632179165">
                      <w:marLeft w:val="0"/>
                      <w:marRight w:val="0"/>
                      <w:marTop w:val="0"/>
                      <w:marBottom w:val="0"/>
                      <w:divBdr>
                        <w:top w:val="none" w:sz="0" w:space="0" w:color="auto"/>
                        <w:left w:val="none" w:sz="0" w:space="0" w:color="auto"/>
                        <w:bottom w:val="none" w:sz="0" w:space="0" w:color="auto"/>
                        <w:right w:val="none" w:sz="0" w:space="0" w:color="auto"/>
                      </w:divBdr>
                      <w:divsChild>
                        <w:div w:id="1915428980">
                          <w:marLeft w:val="0"/>
                          <w:marRight w:val="0"/>
                          <w:marTop w:val="0"/>
                          <w:marBottom w:val="0"/>
                          <w:divBdr>
                            <w:top w:val="none" w:sz="0" w:space="0" w:color="auto"/>
                            <w:left w:val="none" w:sz="0" w:space="0" w:color="auto"/>
                            <w:bottom w:val="none" w:sz="0" w:space="0" w:color="auto"/>
                            <w:right w:val="none" w:sz="0" w:space="0" w:color="auto"/>
                          </w:divBdr>
                        </w:div>
                      </w:divsChild>
                    </w:div>
                    <w:div w:id="864639452">
                      <w:marLeft w:val="0"/>
                      <w:marRight w:val="0"/>
                      <w:marTop w:val="0"/>
                      <w:marBottom w:val="0"/>
                      <w:divBdr>
                        <w:top w:val="none" w:sz="0" w:space="0" w:color="auto"/>
                        <w:left w:val="none" w:sz="0" w:space="0" w:color="auto"/>
                        <w:bottom w:val="none" w:sz="0" w:space="0" w:color="auto"/>
                        <w:right w:val="none" w:sz="0" w:space="0" w:color="auto"/>
                      </w:divBdr>
                      <w:divsChild>
                        <w:div w:id="1115489305">
                          <w:marLeft w:val="0"/>
                          <w:marRight w:val="0"/>
                          <w:marTop w:val="0"/>
                          <w:marBottom w:val="0"/>
                          <w:divBdr>
                            <w:top w:val="none" w:sz="0" w:space="0" w:color="auto"/>
                            <w:left w:val="none" w:sz="0" w:space="0" w:color="auto"/>
                            <w:bottom w:val="none" w:sz="0" w:space="0" w:color="auto"/>
                            <w:right w:val="none" w:sz="0" w:space="0" w:color="auto"/>
                          </w:divBdr>
                        </w:div>
                      </w:divsChild>
                    </w:div>
                    <w:div w:id="1386486000">
                      <w:marLeft w:val="0"/>
                      <w:marRight w:val="0"/>
                      <w:marTop w:val="0"/>
                      <w:marBottom w:val="0"/>
                      <w:divBdr>
                        <w:top w:val="none" w:sz="0" w:space="0" w:color="auto"/>
                        <w:left w:val="none" w:sz="0" w:space="0" w:color="auto"/>
                        <w:bottom w:val="none" w:sz="0" w:space="0" w:color="auto"/>
                        <w:right w:val="none" w:sz="0" w:space="0" w:color="auto"/>
                      </w:divBdr>
                      <w:divsChild>
                        <w:div w:id="1907565009">
                          <w:marLeft w:val="0"/>
                          <w:marRight w:val="0"/>
                          <w:marTop w:val="0"/>
                          <w:marBottom w:val="0"/>
                          <w:divBdr>
                            <w:top w:val="none" w:sz="0" w:space="0" w:color="auto"/>
                            <w:left w:val="none" w:sz="0" w:space="0" w:color="auto"/>
                            <w:bottom w:val="none" w:sz="0" w:space="0" w:color="auto"/>
                            <w:right w:val="none" w:sz="0" w:space="0" w:color="auto"/>
                          </w:divBdr>
                        </w:div>
                      </w:divsChild>
                    </w:div>
                    <w:div w:id="992444309">
                      <w:marLeft w:val="0"/>
                      <w:marRight w:val="0"/>
                      <w:marTop w:val="0"/>
                      <w:marBottom w:val="0"/>
                      <w:divBdr>
                        <w:top w:val="none" w:sz="0" w:space="0" w:color="auto"/>
                        <w:left w:val="none" w:sz="0" w:space="0" w:color="auto"/>
                        <w:bottom w:val="none" w:sz="0" w:space="0" w:color="auto"/>
                        <w:right w:val="none" w:sz="0" w:space="0" w:color="auto"/>
                      </w:divBdr>
                      <w:divsChild>
                        <w:div w:id="766269908">
                          <w:marLeft w:val="0"/>
                          <w:marRight w:val="0"/>
                          <w:marTop w:val="0"/>
                          <w:marBottom w:val="0"/>
                          <w:divBdr>
                            <w:top w:val="none" w:sz="0" w:space="0" w:color="auto"/>
                            <w:left w:val="none" w:sz="0" w:space="0" w:color="auto"/>
                            <w:bottom w:val="none" w:sz="0" w:space="0" w:color="auto"/>
                            <w:right w:val="none" w:sz="0" w:space="0" w:color="auto"/>
                          </w:divBdr>
                        </w:div>
                      </w:divsChild>
                    </w:div>
                    <w:div w:id="1407728113">
                      <w:marLeft w:val="0"/>
                      <w:marRight w:val="0"/>
                      <w:marTop w:val="0"/>
                      <w:marBottom w:val="0"/>
                      <w:divBdr>
                        <w:top w:val="none" w:sz="0" w:space="0" w:color="auto"/>
                        <w:left w:val="none" w:sz="0" w:space="0" w:color="auto"/>
                        <w:bottom w:val="none" w:sz="0" w:space="0" w:color="auto"/>
                        <w:right w:val="none" w:sz="0" w:space="0" w:color="auto"/>
                      </w:divBdr>
                      <w:divsChild>
                        <w:div w:id="749666339">
                          <w:marLeft w:val="0"/>
                          <w:marRight w:val="0"/>
                          <w:marTop w:val="0"/>
                          <w:marBottom w:val="0"/>
                          <w:divBdr>
                            <w:top w:val="none" w:sz="0" w:space="0" w:color="auto"/>
                            <w:left w:val="none" w:sz="0" w:space="0" w:color="auto"/>
                            <w:bottom w:val="none" w:sz="0" w:space="0" w:color="auto"/>
                            <w:right w:val="none" w:sz="0" w:space="0" w:color="auto"/>
                          </w:divBdr>
                        </w:div>
                      </w:divsChild>
                    </w:div>
                    <w:div w:id="1311128279">
                      <w:marLeft w:val="0"/>
                      <w:marRight w:val="0"/>
                      <w:marTop w:val="0"/>
                      <w:marBottom w:val="0"/>
                      <w:divBdr>
                        <w:top w:val="none" w:sz="0" w:space="0" w:color="auto"/>
                        <w:left w:val="none" w:sz="0" w:space="0" w:color="auto"/>
                        <w:bottom w:val="none" w:sz="0" w:space="0" w:color="auto"/>
                        <w:right w:val="none" w:sz="0" w:space="0" w:color="auto"/>
                      </w:divBdr>
                      <w:divsChild>
                        <w:div w:id="16192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07294360.2020.1824209" TargetMode="External"/><Relationship Id="rId18" Type="http://schemas.openxmlformats.org/officeDocument/2006/relationships/hyperlink" Target="https://doi.org/10.51302/tce.2020.4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6018/red.450791" TargetMode="External"/><Relationship Id="rId17" Type="http://schemas.openxmlformats.org/officeDocument/2006/relationships/hyperlink" Target="https://unevoc.unesco.org/pub/trendsmapping_futureoftvetteaching.pdf" TargetMode="External"/><Relationship Id="rId2" Type="http://schemas.openxmlformats.org/officeDocument/2006/relationships/numbering" Target="numbering.xml"/><Relationship Id="rId16" Type="http://schemas.openxmlformats.org/officeDocument/2006/relationships/hyperlink" Target="https://doi.org/10.3389/fpsyg.2019.0279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senyament.gencat.cat/web/.content/home/departament/estadistiques/insercio-laboral/estadistica-insercio-laboral/insercio-laboral-2019.pdf" TargetMode="External"/><Relationship Id="rId5" Type="http://schemas.openxmlformats.org/officeDocument/2006/relationships/webSettings" Target="webSettings.xml"/><Relationship Id="rId15" Type="http://schemas.openxmlformats.org/officeDocument/2006/relationships/hyperlink" Target="https://doi.org/10.5565/rev/educar.1551" TargetMode="External"/><Relationship Id="rId23" Type="http://schemas.openxmlformats.org/officeDocument/2006/relationships/theme" Target="theme/theme1.xml"/><Relationship Id="rId10" Type="http://schemas.openxmlformats.org/officeDocument/2006/relationships/hyperlink" Target="https://data.europa.eu/doi/10.2801/215705" TargetMode="External"/><Relationship Id="rId19" Type="http://schemas.openxmlformats.org/officeDocument/2006/relationships/hyperlink" Target="https://doi.org/10.1109/ISET52350.2021.00028" TargetMode="External"/><Relationship Id="rId4" Type="http://schemas.openxmlformats.org/officeDocument/2006/relationships/settings" Target="settings.xml"/><Relationship Id="rId9" Type="http://schemas.openxmlformats.org/officeDocument/2006/relationships/hyperlink" Target="https://doi.org/10.1186/s40461-020-00100-0" TargetMode="External"/><Relationship Id="rId14" Type="http://schemas.openxmlformats.org/officeDocument/2006/relationships/hyperlink" Target="https://doi.org/10.1080/13636820.2020.178644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2304</Words>
  <Characters>13784</Characters>
  <Application>Microsoft Office Word</Application>
  <DocSecurity>0</DocSecurity>
  <Lines>430</Lines>
  <Paragraphs>247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Paloma Fernanda Sepulveda Parrini</cp:lastModifiedBy>
  <cp:revision>2</cp:revision>
  <cp:lastPrinted>2012-03-19T09:44:00Z</cp:lastPrinted>
  <dcterms:created xsi:type="dcterms:W3CDTF">2023-01-27T21:06:00Z</dcterms:created>
  <dcterms:modified xsi:type="dcterms:W3CDTF">2023-01-27T21:06:00Z</dcterms:modified>
</cp:coreProperties>
</file>