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3239" w14:textId="77777777" w:rsidR="006A5EC7" w:rsidRDefault="00510C7C">
      <w:pPr>
        <w:pStyle w:val="Ttulo"/>
        <w:rPr>
          <w:color w:val="76923C"/>
        </w:rPr>
      </w:pPr>
      <w:r>
        <w:t xml:space="preserve">HOJA DE ESTILO PARA </w:t>
      </w:r>
      <w:r>
        <w:rPr>
          <w:color w:val="76923C"/>
        </w:rPr>
        <w:t>COMUNICACIONES</w:t>
      </w:r>
      <w:r>
        <w:t xml:space="preserve"> Y </w:t>
      </w:r>
      <w:r>
        <w:rPr>
          <w:color w:val="76923C"/>
        </w:rPr>
        <w:t>PÓSTERS</w:t>
      </w:r>
    </w:p>
    <w:p w14:paraId="73FB83FA" w14:textId="77777777" w:rsidR="006A5EC7" w:rsidRDefault="00510C7C">
      <w:pPr>
        <w:pStyle w:val="Ttulo"/>
        <w:rPr>
          <w:color w:val="76923C"/>
        </w:rPr>
      </w:pPr>
      <w:r>
        <w:rPr>
          <w:color w:val="76923C"/>
        </w:rPr>
        <w:t>INVESTIGACIÓN</w:t>
      </w:r>
    </w:p>
    <w:p w14:paraId="130314C5" w14:textId="77777777" w:rsidR="006A5EC7" w:rsidRDefault="006A5EC7">
      <w:pPr>
        <w:pStyle w:val="Ttulo"/>
        <w:rPr>
          <w:sz w:val="2"/>
          <w:szCs w:val="2"/>
        </w:rPr>
      </w:pPr>
    </w:p>
    <w:p w14:paraId="78408249" w14:textId="77777777" w:rsidR="006A5EC7" w:rsidRDefault="00510C7C">
      <w:pPr>
        <w:pStyle w:val="Ttulo"/>
        <w:jc w:val="both"/>
        <w:rPr>
          <w:b w:val="0"/>
          <w:i/>
          <w:sz w:val="16"/>
          <w:szCs w:val="16"/>
        </w:rPr>
      </w:pPr>
      <w:r>
        <w:t xml:space="preserve">Tipo de aportación: </w:t>
      </w:r>
      <w:r>
        <w:rPr>
          <w:b w:val="0"/>
          <w:i/>
          <w:sz w:val="16"/>
          <w:szCs w:val="16"/>
        </w:rPr>
        <w:t>Marque con una X el tipo de aportación que presenta.</w:t>
      </w:r>
    </w:p>
    <w:tbl>
      <w:tblPr>
        <w:tblStyle w:val="a"/>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804"/>
      </w:tblGrid>
      <w:tr w:rsidR="006A5EC7" w14:paraId="0C0F3303" w14:textId="77777777">
        <w:trPr>
          <w:trHeight w:val="451"/>
        </w:trPr>
        <w:tc>
          <w:tcPr>
            <w:tcW w:w="709" w:type="dxa"/>
          </w:tcPr>
          <w:p w14:paraId="5DD3179D" w14:textId="77777777" w:rsidR="006A5EC7" w:rsidRDefault="00510C7C">
            <w:pPr>
              <w:pStyle w:val="Ttulo"/>
              <w:rPr>
                <w:sz w:val="16"/>
                <w:szCs w:val="16"/>
              </w:rPr>
            </w:pPr>
            <w:r>
              <w:rPr>
                <w:sz w:val="16"/>
                <w:szCs w:val="16"/>
              </w:rPr>
              <w:t>X</w:t>
            </w:r>
          </w:p>
        </w:tc>
        <w:tc>
          <w:tcPr>
            <w:tcW w:w="6804" w:type="dxa"/>
            <w:vAlign w:val="center"/>
          </w:tcPr>
          <w:p w14:paraId="063DCDDC" w14:textId="77777777" w:rsidR="006A5EC7" w:rsidRDefault="00510C7C">
            <w:pPr>
              <w:pStyle w:val="Ttulo"/>
              <w:jc w:val="left"/>
              <w:rPr>
                <w:sz w:val="16"/>
                <w:szCs w:val="16"/>
              </w:rPr>
            </w:pPr>
            <w:r>
              <w:rPr>
                <w:sz w:val="16"/>
                <w:szCs w:val="16"/>
              </w:rPr>
              <w:t>Comunicación - Investigación</w:t>
            </w:r>
          </w:p>
        </w:tc>
      </w:tr>
      <w:tr w:rsidR="006A5EC7" w14:paraId="321BB922" w14:textId="77777777">
        <w:trPr>
          <w:trHeight w:val="451"/>
        </w:trPr>
        <w:tc>
          <w:tcPr>
            <w:tcW w:w="709" w:type="dxa"/>
          </w:tcPr>
          <w:p w14:paraId="3E24B582" w14:textId="77777777" w:rsidR="006A5EC7" w:rsidRDefault="006A5EC7">
            <w:pPr>
              <w:pStyle w:val="Ttulo"/>
              <w:rPr>
                <w:sz w:val="16"/>
                <w:szCs w:val="16"/>
              </w:rPr>
            </w:pPr>
          </w:p>
        </w:tc>
        <w:tc>
          <w:tcPr>
            <w:tcW w:w="6804" w:type="dxa"/>
            <w:vAlign w:val="center"/>
          </w:tcPr>
          <w:p w14:paraId="215417A4" w14:textId="77777777" w:rsidR="006A5EC7" w:rsidRDefault="00510C7C">
            <w:pPr>
              <w:pStyle w:val="Ttulo"/>
              <w:jc w:val="left"/>
              <w:rPr>
                <w:sz w:val="16"/>
                <w:szCs w:val="16"/>
              </w:rPr>
            </w:pPr>
            <w:r>
              <w:rPr>
                <w:sz w:val="16"/>
                <w:szCs w:val="16"/>
              </w:rPr>
              <w:t>Póster - Investigación</w:t>
            </w:r>
          </w:p>
        </w:tc>
      </w:tr>
    </w:tbl>
    <w:p w14:paraId="6C9A1CEC" w14:textId="77777777" w:rsidR="006A5EC7" w:rsidRDefault="00510C7C">
      <w:pPr>
        <w:pStyle w:val="Ttulo"/>
        <w:jc w:val="both"/>
        <w:rPr>
          <w:b w:val="0"/>
          <w:i/>
          <w:sz w:val="16"/>
          <w:szCs w:val="16"/>
        </w:rPr>
      </w:pPr>
      <w:r>
        <w:t xml:space="preserve">Temática de la aportación: </w:t>
      </w:r>
      <w:r>
        <w:rPr>
          <w:b w:val="0"/>
          <w:i/>
          <w:sz w:val="16"/>
          <w:szCs w:val="16"/>
        </w:rPr>
        <w:t>Marque con una X la temática de la aportación que realiza.</w:t>
      </w:r>
    </w:p>
    <w:tbl>
      <w:tblPr>
        <w:tblStyle w:val="a0"/>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804"/>
      </w:tblGrid>
      <w:tr w:rsidR="006A5EC7" w14:paraId="395D3BB9" w14:textId="77777777">
        <w:trPr>
          <w:trHeight w:val="451"/>
        </w:trPr>
        <w:tc>
          <w:tcPr>
            <w:tcW w:w="709" w:type="dxa"/>
          </w:tcPr>
          <w:p w14:paraId="6F548630" w14:textId="77777777" w:rsidR="006A5EC7" w:rsidRDefault="006A5EC7">
            <w:pPr>
              <w:pStyle w:val="Ttulo"/>
              <w:rPr>
                <w:sz w:val="16"/>
                <w:szCs w:val="16"/>
              </w:rPr>
            </w:pPr>
          </w:p>
        </w:tc>
        <w:tc>
          <w:tcPr>
            <w:tcW w:w="6804" w:type="dxa"/>
          </w:tcPr>
          <w:p w14:paraId="18ACD467" w14:textId="77777777" w:rsidR="006A5EC7" w:rsidRDefault="00510C7C">
            <w:pPr>
              <w:pStyle w:val="Ttulo"/>
              <w:jc w:val="left"/>
              <w:rPr>
                <w:sz w:val="16"/>
                <w:szCs w:val="16"/>
              </w:rPr>
            </w:pPr>
            <w:r>
              <w:rPr>
                <w:sz w:val="16"/>
                <w:szCs w:val="16"/>
              </w:rPr>
              <w:t>Aprendizaje y desarrollo profesional en la Sociedad 5.0</w:t>
            </w:r>
          </w:p>
        </w:tc>
      </w:tr>
      <w:tr w:rsidR="006A5EC7" w14:paraId="1AFFFE72" w14:textId="77777777">
        <w:trPr>
          <w:trHeight w:val="451"/>
        </w:trPr>
        <w:tc>
          <w:tcPr>
            <w:tcW w:w="709" w:type="dxa"/>
          </w:tcPr>
          <w:p w14:paraId="48C90CE9" w14:textId="77777777" w:rsidR="006A5EC7" w:rsidRDefault="006A5EC7">
            <w:pPr>
              <w:pStyle w:val="Ttulo"/>
              <w:rPr>
                <w:sz w:val="16"/>
                <w:szCs w:val="16"/>
              </w:rPr>
            </w:pPr>
          </w:p>
        </w:tc>
        <w:tc>
          <w:tcPr>
            <w:tcW w:w="6804" w:type="dxa"/>
          </w:tcPr>
          <w:p w14:paraId="64012547" w14:textId="77777777" w:rsidR="006A5EC7" w:rsidRDefault="00510C7C">
            <w:pPr>
              <w:pStyle w:val="Ttulo"/>
              <w:jc w:val="left"/>
              <w:rPr>
                <w:sz w:val="16"/>
                <w:szCs w:val="16"/>
              </w:rPr>
            </w:pPr>
            <w:r>
              <w:rPr>
                <w:sz w:val="16"/>
                <w:szCs w:val="16"/>
              </w:rPr>
              <w:t>Gobernanza de Instituciones en la Sociedad 5.0</w:t>
            </w:r>
          </w:p>
        </w:tc>
      </w:tr>
      <w:tr w:rsidR="006A5EC7" w14:paraId="4F078F8C" w14:textId="77777777">
        <w:trPr>
          <w:trHeight w:val="451"/>
        </w:trPr>
        <w:tc>
          <w:tcPr>
            <w:tcW w:w="709" w:type="dxa"/>
          </w:tcPr>
          <w:p w14:paraId="69D1133C" w14:textId="77777777" w:rsidR="006A5EC7" w:rsidRDefault="006A5EC7">
            <w:pPr>
              <w:pStyle w:val="Ttulo"/>
              <w:rPr>
                <w:sz w:val="16"/>
                <w:szCs w:val="16"/>
              </w:rPr>
            </w:pPr>
          </w:p>
        </w:tc>
        <w:tc>
          <w:tcPr>
            <w:tcW w:w="6804" w:type="dxa"/>
          </w:tcPr>
          <w:p w14:paraId="14DBCB01" w14:textId="77777777" w:rsidR="006A5EC7" w:rsidRDefault="00510C7C">
            <w:pPr>
              <w:pStyle w:val="Ttulo"/>
              <w:jc w:val="left"/>
              <w:rPr>
                <w:sz w:val="16"/>
                <w:szCs w:val="16"/>
              </w:rPr>
            </w:pPr>
            <w:r>
              <w:rPr>
                <w:sz w:val="16"/>
                <w:szCs w:val="16"/>
              </w:rPr>
              <w:t>Herramientas y habilidades digitales en las Organizaciones</w:t>
            </w:r>
          </w:p>
        </w:tc>
      </w:tr>
      <w:tr w:rsidR="006A5EC7" w14:paraId="44F956BB" w14:textId="77777777">
        <w:trPr>
          <w:trHeight w:val="451"/>
        </w:trPr>
        <w:tc>
          <w:tcPr>
            <w:tcW w:w="709" w:type="dxa"/>
          </w:tcPr>
          <w:p w14:paraId="701AD1D0" w14:textId="77777777" w:rsidR="006A5EC7" w:rsidRDefault="00510C7C">
            <w:pPr>
              <w:pStyle w:val="Ttulo"/>
              <w:rPr>
                <w:sz w:val="16"/>
                <w:szCs w:val="16"/>
              </w:rPr>
            </w:pPr>
            <w:r>
              <w:rPr>
                <w:sz w:val="16"/>
                <w:szCs w:val="16"/>
              </w:rPr>
              <w:t>X</w:t>
            </w:r>
          </w:p>
        </w:tc>
        <w:tc>
          <w:tcPr>
            <w:tcW w:w="6804" w:type="dxa"/>
          </w:tcPr>
          <w:p w14:paraId="4FEFFE3D" w14:textId="77777777" w:rsidR="006A5EC7" w:rsidRDefault="00510C7C">
            <w:pPr>
              <w:pStyle w:val="Ttulo"/>
              <w:jc w:val="left"/>
              <w:rPr>
                <w:sz w:val="16"/>
                <w:szCs w:val="16"/>
              </w:rPr>
            </w:pPr>
            <w:r>
              <w:rPr>
                <w:sz w:val="16"/>
                <w:szCs w:val="16"/>
              </w:rPr>
              <w:t>Inteligencia artificial generativa: un aliado ante la transformación</w:t>
            </w:r>
          </w:p>
        </w:tc>
      </w:tr>
      <w:tr w:rsidR="006A5EC7" w14:paraId="30B1E24B" w14:textId="77777777">
        <w:trPr>
          <w:trHeight w:val="451"/>
        </w:trPr>
        <w:tc>
          <w:tcPr>
            <w:tcW w:w="709" w:type="dxa"/>
          </w:tcPr>
          <w:p w14:paraId="2C812558" w14:textId="77777777" w:rsidR="006A5EC7" w:rsidRDefault="006A5EC7">
            <w:pPr>
              <w:pStyle w:val="Ttulo"/>
              <w:rPr>
                <w:sz w:val="16"/>
                <w:szCs w:val="16"/>
              </w:rPr>
            </w:pPr>
          </w:p>
        </w:tc>
        <w:tc>
          <w:tcPr>
            <w:tcW w:w="6804" w:type="dxa"/>
          </w:tcPr>
          <w:p w14:paraId="71825989" w14:textId="77777777" w:rsidR="006A5EC7" w:rsidRDefault="00510C7C">
            <w:pPr>
              <w:pStyle w:val="Ttulo"/>
              <w:jc w:val="left"/>
              <w:rPr>
                <w:sz w:val="16"/>
                <w:szCs w:val="16"/>
              </w:rPr>
            </w:pPr>
            <w:r>
              <w:rPr>
                <w:sz w:val="16"/>
                <w:szCs w:val="16"/>
              </w:rPr>
              <w:t xml:space="preserve">Convergencia entre la organización formal e informal en las Organizaciones </w:t>
            </w:r>
          </w:p>
        </w:tc>
      </w:tr>
      <w:tr w:rsidR="006A5EC7" w14:paraId="523B26A4" w14:textId="77777777">
        <w:trPr>
          <w:trHeight w:val="451"/>
        </w:trPr>
        <w:tc>
          <w:tcPr>
            <w:tcW w:w="709" w:type="dxa"/>
          </w:tcPr>
          <w:p w14:paraId="33432519" w14:textId="77777777" w:rsidR="006A5EC7" w:rsidRDefault="006A5EC7">
            <w:pPr>
              <w:pStyle w:val="Ttulo"/>
              <w:rPr>
                <w:sz w:val="16"/>
                <w:szCs w:val="16"/>
              </w:rPr>
            </w:pPr>
          </w:p>
        </w:tc>
        <w:tc>
          <w:tcPr>
            <w:tcW w:w="6804" w:type="dxa"/>
          </w:tcPr>
          <w:p w14:paraId="31F2FF5B" w14:textId="77777777" w:rsidR="006A5EC7" w:rsidRDefault="00510C7C">
            <w:pPr>
              <w:pStyle w:val="Ttulo"/>
              <w:jc w:val="left"/>
              <w:rPr>
                <w:sz w:val="16"/>
                <w:szCs w:val="16"/>
              </w:rPr>
            </w:pPr>
            <w:r>
              <w:rPr>
                <w:sz w:val="16"/>
                <w:szCs w:val="16"/>
              </w:rPr>
              <w:t>Convergencia entre el mundo físico y el digit</w:t>
            </w:r>
            <w:r>
              <w:rPr>
                <w:sz w:val="16"/>
                <w:szCs w:val="16"/>
              </w:rPr>
              <w:t xml:space="preserve">al en las Organizaciones </w:t>
            </w:r>
          </w:p>
        </w:tc>
      </w:tr>
      <w:tr w:rsidR="006A5EC7" w14:paraId="5DA6BD57" w14:textId="77777777">
        <w:trPr>
          <w:trHeight w:val="451"/>
        </w:trPr>
        <w:tc>
          <w:tcPr>
            <w:tcW w:w="709" w:type="dxa"/>
          </w:tcPr>
          <w:p w14:paraId="42464096" w14:textId="77777777" w:rsidR="006A5EC7" w:rsidRDefault="006A5EC7">
            <w:pPr>
              <w:pStyle w:val="Ttulo"/>
              <w:rPr>
                <w:sz w:val="16"/>
                <w:szCs w:val="16"/>
              </w:rPr>
            </w:pPr>
          </w:p>
        </w:tc>
        <w:tc>
          <w:tcPr>
            <w:tcW w:w="6804" w:type="dxa"/>
          </w:tcPr>
          <w:p w14:paraId="1C28A09F" w14:textId="77777777" w:rsidR="006A5EC7" w:rsidRDefault="00510C7C">
            <w:pPr>
              <w:pStyle w:val="Ttulo"/>
              <w:jc w:val="left"/>
              <w:rPr>
                <w:sz w:val="16"/>
                <w:szCs w:val="16"/>
              </w:rPr>
            </w:pPr>
            <w:r>
              <w:rPr>
                <w:sz w:val="16"/>
                <w:szCs w:val="16"/>
              </w:rPr>
              <w:t xml:space="preserve">Liderazgos necesarios para la transformación </w:t>
            </w:r>
          </w:p>
        </w:tc>
      </w:tr>
      <w:tr w:rsidR="006A5EC7" w14:paraId="5D4D939B" w14:textId="77777777">
        <w:trPr>
          <w:trHeight w:val="451"/>
        </w:trPr>
        <w:tc>
          <w:tcPr>
            <w:tcW w:w="709" w:type="dxa"/>
          </w:tcPr>
          <w:p w14:paraId="60BA9AAE" w14:textId="77777777" w:rsidR="006A5EC7" w:rsidRDefault="006A5EC7">
            <w:pPr>
              <w:pStyle w:val="Ttulo"/>
              <w:rPr>
                <w:sz w:val="16"/>
                <w:szCs w:val="16"/>
              </w:rPr>
            </w:pPr>
          </w:p>
        </w:tc>
        <w:tc>
          <w:tcPr>
            <w:tcW w:w="6804" w:type="dxa"/>
          </w:tcPr>
          <w:p w14:paraId="71CCEA83" w14:textId="77777777" w:rsidR="006A5EC7" w:rsidRDefault="00510C7C">
            <w:pPr>
              <w:pStyle w:val="Ttulo"/>
              <w:jc w:val="left"/>
              <w:rPr>
                <w:sz w:val="16"/>
                <w:szCs w:val="16"/>
              </w:rPr>
            </w:pPr>
            <w:r>
              <w:rPr>
                <w:sz w:val="16"/>
                <w:szCs w:val="16"/>
              </w:rPr>
              <w:t>Gestión del cambio y autonomía: personal y organizacional</w:t>
            </w:r>
          </w:p>
        </w:tc>
      </w:tr>
      <w:tr w:rsidR="006A5EC7" w14:paraId="7ADBC4A8" w14:textId="77777777">
        <w:trPr>
          <w:trHeight w:val="451"/>
        </w:trPr>
        <w:tc>
          <w:tcPr>
            <w:tcW w:w="709" w:type="dxa"/>
          </w:tcPr>
          <w:p w14:paraId="0424906E" w14:textId="77777777" w:rsidR="006A5EC7" w:rsidRDefault="006A5EC7">
            <w:pPr>
              <w:pStyle w:val="Ttulo"/>
              <w:rPr>
                <w:sz w:val="16"/>
                <w:szCs w:val="16"/>
              </w:rPr>
            </w:pPr>
          </w:p>
        </w:tc>
        <w:tc>
          <w:tcPr>
            <w:tcW w:w="6804" w:type="dxa"/>
          </w:tcPr>
          <w:p w14:paraId="09C58DC0" w14:textId="77777777" w:rsidR="006A5EC7" w:rsidRDefault="00510C7C">
            <w:pPr>
              <w:pStyle w:val="Ttulo"/>
              <w:jc w:val="left"/>
              <w:rPr>
                <w:sz w:val="16"/>
                <w:szCs w:val="16"/>
              </w:rPr>
            </w:pPr>
            <w:r>
              <w:rPr>
                <w:sz w:val="16"/>
                <w:szCs w:val="16"/>
              </w:rPr>
              <w:t>Ética y responsabilidad digital</w:t>
            </w:r>
          </w:p>
        </w:tc>
      </w:tr>
      <w:tr w:rsidR="006A5EC7" w14:paraId="28D8189D" w14:textId="77777777">
        <w:trPr>
          <w:trHeight w:val="451"/>
        </w:trPr>
        <w:tc>
          <w:tcPr>
            <w:tcW w:w="709" w:type="dxa"/>
          </w:tcPr>
          <w:p w14:paraId="5C144CED" w14:textId="77777777" w:rsidR="006A5EC7" w:rsidRDefault="006A5EC7">
            <w:pPr>
              <w:pStyle w:val="Ttulo"/>
              <w:rPr>
                <w:sz w:val="16"/>
                <w:szCs w:val="16"/>
              </w:rPr>
            </w:pPr>
          </w:p>
        </w:tc>
        <w:tc>
          <w:tcPr>
            <w:tcW w:w="6804" w:type="dxa"/>
          </w:tcPr>
          <w:p w14:paraId="11D80F85" w14:textId="77777777" w:rsidR="006A5EC7" w:rsidRDefault="00510C7C">
            <w:pPr>
              <w:pStyle w:val="Ttulo"/>
              <w:jc w:val="left"/>
              <w:rPr>
                <w:sz w:val="16"/>
                <w:szCs w:val="16"/>
              </w:rPr>
            </w:pPr>
            <w:r>
              <w:rPr>
                <w:sz w:val="16"/>
                <w:szCs w:val="16"/>
              </w:rPr>
              <w:t>Experiencias transformadoras: Robótica educativa, Robots sociales, Realidad Virtual, Realidad aumentada, Simulaciones, Herramientas digitales para el STEAM,…</w:t>
            </w:r>
          </w:p>
        </w:tc>
      </w:tr>
    </w:tbl>
    <w:p w14:paraId="05351AD4" w14:textId="77777777" w:rsidR="006A5EC7" w:rsidRDefault="006A5EC7">
      <w:pPr>
        <w:pBdr>
          <w:bottom w:val="single" w:sz="6" w:space="1" w:color="000000"/>
        </w:pBdr>
        <w:spacing w:line="240" w:lineRule="auto"/>
        <w:rPr>
          <w:rFonts w:ascii="Times New Roman" w:eastAsia="Times New Roman" w:hAnsi="Times New Roman"/>
          <w:b/>
        </w:rPr>
      </w:pPr>
    </w:p>
    <w:p w14:paraId="6152D7AF" w14:textId="77777777" w:rsidR="006A5EC7" w:rsidRDefault="006A5EC7">
      <w:pPr>
        <w:pBdr>
          <w:bottom w:val="single" w:sz="6" w:space="1" w:color="000000"/>
        </w:pBdr>
        <w:spacing w:line="240" w:lineRule="auto"/>
        <w:rPr>
          <w:rFonts w:ascii="Times New Roman" w:eastAsia="Times New Roman" w:hAnsi="Times New Roman"/>
          <w:color w:val="FF0000"/>
        </w:rPr>
      </w:pPr>
      <w:bookmarkStart w:id="0" w:name="_heading=h.uvdndm43ka10" w:colFirst="0" w:colLast="0"/>
      <w:bookmarkEnd w:id="0"/>
    </w:p>
    <w:p w14:paraId="422935E8" w14:textId="77777777" w:rsidR="006A5EC7" w:rsidRDefault="00510C7C">
      <w:pPr>
        <w:pBdr>
          <w:bottom w:val="single" w:sz="6" w:space="1" w:color="000000"/>
        </w:pBdr>
        <w:spacing w:line="240" w:lineRule="auto"/>
        <w:rPr>
          <w:rFonts w:ascii="Times New Roman" w:eastAsia="Times New Roman" w:hAnsi="Times New Roman"/>
          <w:color w:val="FF0000"/>
        </w:rPr>
      </w:pPr>
      <w:bookmarkStart w:id="1" w:name="_heading=h.gjdgxs" w:colFirst="0" w:colLast="0"/>
      <w:bookmarkEnd w:id="1"/>
      <w:r>
        <w:rPr>
          <w:rFonts w:ascii="Times New Roman" w:eastAsia="Times New Roman" w:hAnsi="Times New Roman"/>
          <w:color w:val="FF0000"/>
        </w:rPr>
        <w:t xml:space="preserve">  </w:t>
      </w:r>
    </w:p>
    <w:p w14:paraId="4205DD3F" w14:textId="77777777" w:rsidR="006A5EC7" w:rsidRDefault="006A5EC7">
      <w:pPr>
        <w:pBdr>
          <w:bottom w:val="single" w:sz="6" w:space="1" w:color="000000"/>
        </w:pBdr>
        <w:spacing w:line="240" w:lineRule="auto"/>
        <w:rPr>
          <w:rFonts w:ascii="Times New Roman" w:eastAsia="Times New Roman" w:hAnsi="Times New Roman"/>
          <w:b/>
        </w:rPr>
      </w:pPr>
    </w:p>
    <w:p w14:paraId="76059D2A" w14:textId="77777777" w:rsidR="006A5EC7" w:rsidRDefault="006A5EC7">
      <w:pPr>
        <w:pBdr>
          <w:bottom w:val="single" w:sz="6" w:space="1" w:color="000000"/>
        </w:pBdr>
        <w:spacing w:line="240" w:lineRule="auto"/>
        <w:rPr>
          <w:rFonts w:ascii="Times New Roman" w:eastAsia="Times New Roman" w:hAnsi="Times New Roman"/>
          <w:b/>
        </w:rPr>
      </w:pPr>
    </w:p>
    <w:p w14:paraId="506B47F2" w14:textId="77777777" w:rsidR="006A5EC7" w:rsidRDefault="006A5EC7">
      <w:pPr>
        <w:pBdr>
          <w:bottom w:val="single" w:sz="6" w:space="1" w:color="000000"/>
        </w:pBdr>
        <w:spacing w:line="240" w:lineRule="auto"/>
        <w:rPr>
          <w:rFonts w:ascii="Times New Roman" w:eastAsia="Times New Roman" w:hAnsi="Times New Roman"/>
          <w:b/>
        </w:rPr>
      </w:pPr>
    </w:p>
    <w:p w14:paraId="3EB3FA23" w14:textId="77777777" w:rsidR="006A5EC7" w:rsidRDefault="006A5EC7">
      <w:pPr>
        <w:pBdr>
          <w:bottom w:val="single" w:sz="6" w:space="1" w:color="000000"/>
        </w:pBdr>
        <w:spacing w:line="240" w:lineRule="auto"/>
        <w:rPr>
          <w:rFonts w:ascii="Times New Roman" w:eastAsia="Times New Roman" w:hAnsi="Times New Roman"/>
          <w:b/>
        </w:rPr>
      </w:pPr>
    </w:p>
    <w:p w14:paraId="198FE7C9" w14:textId="77777777" w:rsidR="006A5EC7" w:rsidRDefault="006A5EC7">
      <w:pPr>
        <w:pBdr>
          <w:bottom w:val="single" w:sz="6" w:space="1" w:color="000000"/>
        </w:pBdr>
        <w:spacing w:line="240" w:lineRule="auto"/>
        <w:rPr>
          <w:rFonts w:ascii="Times New Roman" w:eastAsia="Times New Roman" w:hAnsi="Times New Roman"/>
          <w:b/>
        </w:rPr>
      </w:pPr>
    </w:p>
    <w:p w14:paraId="40BBC00B" w14:textId="77777777" w:rsidR="006A5EC7" w:rsidRDefault="006A5EC7">
      <w:pPr>
        <w:pBdr>
          <w:bottom w:val="single" w:sz="6" w:space="1" w:color="000000"/>
        </w:pBdr>
        <w:spacing w:line="240" w:lineRule="auto"/>
        <w:rPr>
          <w:rFonts w:ascii="Times New Roman" w:eastAsia="Times New Roman" w:hAnsi="Times New Roman"/>
          <w:b/>
        </w:rPr>
      </w:pPr>
    </w:p>
    <w:p w14:paraId="7DC33E68" w14:textId="77777777" w:rsidR="006A5EC7" w:rsidRDefault="006A5EC7">
      <w:pPr>
        <w:pBdr>
          <w:bottom w:val="single" w:sz="6" w:space="1" w:color="000000"/>
        </w:pBdr>
        <w:spacing w:line="240" w:lineRule="auto"/>
        <w:rPr>
          <w:rFonts w:ascii="Times New Roman" w:eastAsia="Times New Roman" w:hAnsi="Times New Roman"/>
          <w:b/>
        </w:rPr>
      </w:pPr>
    </w:p>
    <w:p w14:paraId="463E28DF" w14:textId="77777777" w:rsidR="006A5EC7" w:rsidRDefault="006A5EC7">
      <w:pPr>
        <w:pBdr>
          <w:bottom w:val="single" w:sz="6" w:space="1" w:color="000000"/>
        </w:pBdr>
        <w:spacing w:line="240" w:lineRule="auto"/>
        <w:rPr>
          <w:rFonts w:ascii="Times New Roman" w:eastAsia="Times New Roman" w:hAnsi="Times New Roman"/>
          <w:b/>
        </w:rPr>
      </w:pPr>
    </w:p>
    <w:p w14:paraId="59B2CE0C" w14:textId="77777777" w:rsidR="006A5EC7" w:rsidRDefault="00510C7C">
      <w:pPr>
        <w:spacing w:before="240"/>
        <w:jc w:val="center"/>
        <w:rPr>
          <w:rFonts w:ascii="Times New Roman" w:eastAsia="Times New Roman" w:hAnsi="Times New Roman"/>
          <w:b/>
          <w:sz w:val="32"/>
          <w:szCs w:val="32"/>
        </w:rPr>
      </w:pPr>
      <w:r>
        <w:rPr>
          <w:rFonts w:ascii="Times New Roman" w:eastAsia="Times New Roman" w:hAnsi="Times New Roman"/>
          <w:b/>
          <w:sz w:val="32"/>
          <w:szCs w:val="32"/>
        </w:rPr>
        <w:t>LIDERAZGO ESCOLAR Y USO ESTRATÉGICO DE LA INTELIGENCIA ARTIFICIAL GENERATIVA</w:t>
      </w:r>
    </w:p>
    <w:p w14:paraId="3B9796CC" w14:textId="77777777" w:rsidR="006A5EC7" w:rsidRDefault="00510C7C">
      <w:pPr>
        <w:spacing w:before="240"/>
        <w:jc w:val="right"/>
        <w:rPr>
          <w:rFonts w:ascii="Times New Roman" w:eastAsia="Times New Roman" w:hAnsi="Times New Roman"/>
          <w:b/>
          <w:sz w:val="24"/>
          <w:szCs w:val="24"/>
        </w:rPr>
      </w:pPr>
      <w:r>
        <w:rPr>
          <w:rFonts w:ascii="Times New Roman" w:eastAsia="Times New Roman" w:hAnsi="Times New Roman"/>
          <w:b/>
          <w:sz w:val="24"/>
          <w:szCs w:val="24"/>
        </w:rPr>
        <w:t>Pedro-León Vivas / Armando Rojas Jara / Gloria Gratacós</w:t>
      </w:r>
    </w:p>
    <w:p w14:paraId="4180F44A" w14:textId="77777777" w:rsidR="006A5EC7" w:rsidRDefault="00510C7C">
      <w:pPr>
        <w:spacing w:before="240"/>
        <w:jc w:val="right"/>
        <w:rPr>
          <w:rFonts w:ascii="Times New Roman" w:eastAsia="Times New Roman" w:hAnsi="Times New Roman"/>
          <w:b/>
          <w:i/>
          <w:sz w:val="26"/>
          <w:szCs w:val="26"/>
        </w:rPr>
      </w:pPr>
      <w:r>
        <w:rPr>
          <w:rFonts w:ascii="Times New Roman" w:eastAsia="Times New Roman" w:hAnsi="Times New Roman"/>
          <w:sz w:val="24"/>
          <w:szCs w:val="24"/>
        </w:rPr>
        <w:t>Universidad Austral, Argentina / Universidad del Desarrollo, Chile / Universidad Villanueva, España</w:t>
      </w:r>
    </w:p>
    <w:p w14:paraId="0B288F1B" w14:textId="77777777" w:rsidR="006A5EC7" w:rsidRDefault="00510C7C">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Resumen</w:t>
      </w:r>
    </w:p>
    <w:p w14:paraId="2E06B894" w14:textId="77777777" w:rsidR="006A5EC7" w:rsidRDefault="00510C7C">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El liderazgo es</w:t>
      </w:r>
      <w:r>
        <w:rPr>
          <w:rFonts w:ascii="Times New Roman" w:eastAsia="Times New Roman" w:hAnsi="Times New Roman"/>
          <w:sz w:val="24"/>
          <w:szCs w:val="24"/>
        </w:rPr>
        <w:t>colar, conceptualizado como la capacidad de influir y movilizar a otros para alcanzar metas compartidas, enfrenta el desafío de adaptarse a un entorno educativo caracterizado por la incorporación de innovaciones tecnológicas. En este contexto, la Inteligen</w:t>
      </w:r>
      <w:r>
        <w:rPr>
          <w:rFonts w:ascii="Times New Roman" w:eastAsia="Times New Roman" w:hAnsi="Times New Roman"/>
          <w:sz w:val="24"/>
          <w:szCs w:val="24"/>
        </w:rPr>
        <w:t xml:space="preserve">cia Artificial Generativa (IAG) se presenta como una herramienta estratégica para fortalecer la gestión educativa, facilitando procesos como el análisis de datos, la formulación de objetivos y la elaboración de planes de mejora institucional. Sin embargo, </w:t>
      </w:r>
      <w:r>
        <w:rPr>
          <w:rFonts w:ascii="Times New Roman" w:eastAsia="Times New Roman" w:hAnsi="Times New Roman"/>
          <w:sz w:val="24"/>
          <w:szCs w:val="24"/>
        </w:rPr>
        <w:t>su implementación efectiva exige que los líderes educativos desarrollen competencias técnicas y pedagógicas que permitan aprovechar su potencial sin comprometer el componente humano esencial en los procesos educativos.</w:t>
      </w:r>
    </w:p>
    <w:p w14:paraId="52E3E154" w14:textId="77777777" w:rsidR="006A5EC7" w:rsidRDefault="00510C7C">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El presente estudio analiza cómo 48 e</w:t>
      </w:r>
      <w:r>
        <w:rPr>
          <w:rFonts w:ascii="Times New Roman" w:eastAsia="Times New Roman" w:hAnsi="Times New Roman"/>
          <w:sz w:val="24"/>
          <w:szCs w:val="24"/>
        </w:rPr>
        <w:t>studiantes de dos programas de maestría en educación perciben el uso de la IAG en la gestión escolar. A través de una metodología basada en el estudio de casos y utilizando un cuestionario de respuestas abiertas, se recogieron datos que fueron analizados m</w:t>
      </w:r>
      <w:r>
        <w:rPr>
          <w:rFonts w:ascii="Times New Roman" w:eastAsia="Times New Roman" w:hAnsi="Times New Roman"/>
          <w:sz w:val="24"/>
          <w:szCs w:val="24"/>
        </w:rPr>
        <w:t>ediante codificación inductiva y categorización analítica.</w:t>
      </w:r>
    </w:p>
    <w:p w14:paraId="0B482C02" w14:textId="77777777" w:rsidR="006A5EC7" w:rsidRDefault="00510C7C">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Los resultados revelan que la IAG puede operar como un apoyo significativo, al acelerar procesos de análisis, enriquecer perspectivas y aportar objetividad. No obstante, también se identificaron de</w:t>
      </w:r>
      <w:r>
        <w:rPr>
          <w:rFonts w:ascii="Times New Roman" w:eastAsia="Times New Roman" w:hAnsi="Times New Roman"/>
          <w:sz w:val="24"/>
          <w:szCs w:val="24"/>
        </w:rPr>
        <w:t>safíos relacionados con la precisión en la elaboración de consultas a la IAG y la necesidad de ejercer un juicio crítico sobre sus sugerencias. Los hallazgos destacan la capacidad de la IAG para liberar tiempo en tareas administrativas, permitiendo a los e</w:t>
      </w:r>
      <w:r>
        <w:rPr>
          <w:rFonts w:ascii="Times New Roman" w:eastAsia="Times New Roman" w:hAnsi="Times New Roman"/>
          <w:sz w:val="24"/>
          <w:szCs w:val="24"/>
        </w:rPr>
        <w:t>quipos directivos enfocarse en actividades de mayor valor pedagógico. Asimismo, subrayan la importancia de construir una cultura organizacional que fomente la confianza en estas tecnologías y promueva su integración alineada con los valores institucionales</w:t>
      </w:r>
      <w:r>
        <w:rPr>
          <w:rFonts w:ascii="Times New Roman" w:eastAsia="Times New Roman" w:hAnsi="Times New Roman"/>
          <w:sz w:val="24"/>
          <w:szCs w:val="24"/>
        </w:rPr>
        <w:t>. Los participantes manifestaron una valoración positiva respecto al uso de la IAG y expresaron interés en explorar su implementación en contextos escolares.</w:t>
      </w:r>
    </w:p>
    <w:p w14:paraId="6ACD100E" w14:textId="77777777" w:rsidR="006A5EC7" w:rsidRDefault="006A5EC7">
      <w:pPr>
        <w:spacing w:line="240" w:lineRule="auto"/>
        <w:ind w:firstLine="284"/>
        <w:jc w:val="both"/>
        <w:rPr>
          <w:rFonts w:ascii="Times New Roman" w:eastAsia="Times New Roman" w:hAnsi="Times New Roman"/>
          <w:sz w:val="24"/>
          <w:szCs w:val="24"/>
        </w:rPr>
      </w:pPr>
    </w:p>
    <w:p w14:paraId="57EDE64A" w14:textId="77777777" w:rsidR="006A5EC7" w:rsidRDefault="00510C7C">
      <w:pPr>
        <w:rPr>
          <w:rFonts w:ascii="Times New Roman" w:eastAsia="Times New Roman" w:hAnsi="Times New Roman"/>
          <w:sz w:val="24"/>
          <w:szCs w:val="24"/>
        </w:rPr>
      </w:pPr>
      <w:r>
        <w:br w:type="page"/>
      </w:r>
    </w:p>
    <w:p w14:paraId="5CA892CD" w14:textId="77777777" w:rsidR="006A5EC7" w:rsidRDefault="00510C7C">
      <w:pPr>
        <w:spacing w:before="240"/>
        <w:jc w:val="center"/>
        <w:rPr>
          <w:rFonts w:ascii="Times New Roman" w:eastAsia="Times New Roman" w:hAnsi="Times New Roman"/>
          <w:b/>
          <w:sz w:val="32"/>
          <w:szCs w:val="32"/>
        </w:rPr>
      </w:pPr>
      <w:r>
        <w:rPr>
          <w:rFonts w:ascii="Times New Roman" w:eastAsia="Times New Roman" w:hAnsi="Times New Roman"/>
          <w:b/>
          <w:sz w:val="32"/>
          <w:szCs w:val="32"/>
        </w:rPr>
        <w:lastRenderedPageBreak/>
        <w:t>LIDERAZGO ESCOLAR Y USO ESTRATÉGICO DE LA INTELIGENCIA ARTIFICIAL</w:t>
      </w:r>
    </w:p>
    <w:p w14:paraId="4A14AE38" w14:textId="77777777" w:rsidR="006A5EC7" w:rsidRDefault="00510C7C">
      <w:pPr>
        <w:spacing w:before="240"/>
        <w:jc w:val="right"/>
        <w:rPr>
          <w:rFonts w:ascii="Times New Roman" w:eastAsia="Times New Roman" w:hAnsi="Times New Roman"/>
          <w:b/>
          <w:sz w:val="24"/>
          <w:szCs w:val="24"/>
        </w:rPr>
      </w:pPr>
      <w:r>
        <w:rPr>
          <w:rFonts w:ascii="Times New Roman" w:eastAsia="Times New Roman" w:hAnsi="Times New Roman"/>
          <w:b/>
          <w:sz w:val="24"/>
          <w:szCs w:val="24"/>
        </w:rPr>
        <w:t>Pedro-León Vivas / Armando Ro</w:t>
      </w:r>
      <w:r>
        <w:rPr>
          <w:rFonts w:ascii="Times New Roman" w:eastAsia="Times New Roman" w:hAnsi="Times New Roman"/>
          <w:b/>
          <w:sz w:val="24"/>
          <w:szCs w:val="24"/>
        </w:rPr>
        <w:t>jas Jara / Gloria Gratacós</w:t>
      </w:r>
    </w:p>
    <w:p w14:paraId="166C7BD4" w14:textId="77777777" w:rsidR="006A5EC7" w:rsidRDefault="00510C7C">
      <w:pPr>
        <w:spacing w:before="240"/>
        <w:jc w:val="right"/>
        <w:rPr>
          <w:rFonts w:ascii="Times New Roman" w:eastAsia="Times New Roman" w:hAnsi="Times New Roman"/>
          <w:sz w:val="24"/>
          <w:szCs w:val="24"/>
        </w:rPr>
      </w:pPr>
      <w:r>
        <w:rPr>
          <w:rFonts w:ascii="Times New Roman" w:eastAsia="Times New Roman" w:hAnsi="Times New Roman"/>
          <w:sz w:val="24"/>
          <w:szCs w:val="24"/>
        </w:rPr>
        <w:t>Universidad Austral, Argentina / Universidad del Desarrollo, Chile / Universidad Villanueva, España</w:t>
      </w:r>
    </w:p>
    <w:p w14:paraId="5AD7338E" w14:textId="77777777" w:rsidR="006A5EC7" w:rsidRDefault="00510C7C">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1.1. Introducción</w:t>
      </w:r>
    </w:p>
    <w:p w14:paraId="0CE1A9A1" w14:textId="77777777" w:rsidR="006A5EC7" w:rsidRDefault="00510C7C">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El liderazgo escolar, definido como "la capacidad de movilizar e influir en otros para definir y alcanzar metas</w:t>
      </w:r>
      <w:r>
        <w:rPr>
          <w:rFonts w:ascii="Times New Roman" w:eastAsia="Times New Roman" w:hAnsi="Times New Roman"/>
          <w:sz w:val="24"/>
          <w:szCs w:val="24"/>
        </w:rPr>
        <w:t xml:space="preserve"> e intenciones compartidas dentro de la escuela" (Leithwood et al., 2020), trasciende la mera formulación de objetivos, exigiendo un enfoque estratégico capaz de orientar a la institución hacia el cumplimiento de sus propósitos. En un contexto de constante</w:t>
      </w:r>
      <w:r>
        <w:rPr>
          <w:rFonts w:ascii="Times New Roman" w:eastAsia="Times New Roman" w:hAnsi="Times New Roman"/>
          <w:sz w:val="24"/>
          <w:szCs w:val="24"/>
        </w:rPr>
        <w:t xml:space="preserve"> transformación, este liderazgo enfrenta retos crecientes, entre ellos, la incorporación de innovaciones tecnológicas que no solo redefinen las dinámicas educativas, sino que también ofrecen oportunidades para fortalecer y optimizar la gestión escolar (Fus</w:t>
      </w:r>
      <w:r>
        <w:rPr>
          <w:rFonts w:ascii="Times New Roman" w:eastAsia="Times New Roman" w:hAnsi="Times New Roman"/>
          <w:sz w:val="24"/>
          <w:szCs w:val="24"/>
        </w:rPr>
        <w:t>arelli et al., 2024).</w:t>
      </w:r>
    </w:p>
    <w:p w14:paraId="48352D33" w14:textId="77777777" w:rsidR="006A5EC7" w:rsidRDefault="00510C7C">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En este marco, la Inteligencia Artificial Generativa (IAG) surge como una herramienta que puede fortalecer tanto el liderazgo como la gestión educativa. Estos sistemas informáticos, diseñados para interactuar con el entorno mediante c</w:t>
      </w:r>
      <w:r>
        <w:rPr>
          <w:rFonts w:ascii="Times New Roman" w:eastAsia="Times New Roman" w:hAnsi="Times New Roman"/>
          <w:sz w:val="24"/>
          <w:szCs w:val="24"/>
        </w:rPr>
        <w:t>apacidades similares a las humanas (Luckin et al., 2016, en Holmes et al., 2021), han demostrado ser efectivos para apoyar el aprendizaje, la enseñanza y la administración escolar, planteando nuevas posibilidades y retos para los líderes educativos en la b</w:t>
      </w:r>
      <w:r>
        <w:rPr>
          <w:rFonts w:ascii="Times New Roman" w:eastAsia="Times New Roman" w:hAnsi="Times New Roman"/>
          <w:sz w:val="24"/>
          <w:szCs w:val="24"/>
        </w:rPr>
        <w:t>úsqueda de sus objetivos (Karakose et al., 2024).</w:t>
      </w:r>
    </w:p>
    <w:p w14:paraId="3B13E1B5" w14:textId="77777777" w:rsidR="006A5EC7" w:rsidRDefault="00510C7C">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No obstante, incorporar esta tecnología en los entornos escolares plantea retos específicos. Los líderes educativos deben equilibrar la implementación de innovaciones tecnológicas con la atención a las nece</w:t>
      </w:r>
      <w:r>
        <w:rPr>
          <w:rFonts w:ascii="Times New Roman" w:eastAsia="Times New Roman" w:hAnsi="Times New Roman"/>
          <w:sz w:val="24"/>
          <w:szCs w:val="24"/>
        </w:rPr>
        <w:t>sidades particulares de los estudiantes y el mejoramiento de los resultados académicos (Fullan et al., 2023). En este sentido, la integración efectiva de la IAG requiere que los líderes escolares desarrollen competencias técnicas y pedagógicas que permitan</w:t>
      </w:r>
      <w:r>
        <w:rPr>
          <w:rFonts w:ascii="Times New Roman" w:eastAsia="Times New Roman" w:hAnsi="Times New Roman"/>
          <w:sz w:val="24"/>
          <w:szCs w:val="24"/>
        </w:rPr>
        <w:t xml:space="preserve"> maximizar el uso de la tecnología, sin desatender el componente humano esencial en los procesos educativos (Fullan et al., 2023). Un elemento clave es el rol del liderazgo en la construcción de una cultura escolar que fomente la confianza en la tecnología</w:t>
      </w:r>
      <w:r>
        <w:rPr>
          <w:rFonts w:ascii="Times New Roman" w:eastAsia="Times New Roman" w:hAnsi="Times New Roman"/>
          <w:sz w:val="24"/>
          <w:szCs w:val="24"/>
        </w:rPr>
        <w:t>, promueva la experimentación y favorezca el aprendizaje continuo. Los líderes educativos deben trabajar colaborativamente con docentes, estudiantes, familias y la comunidad para garantizar que la incorporación de la IAG esté alineada con los valores y obj</w:t>
      </w:r>
      <w:r>
        <w:rPr>
          <w:rFonts w:ascii="Times New Roman" w:eastAsia="Times New Roman" w:hAnsi="Times New Roman"/>
          <w:sz w:val="24"/>
          <w:szCs w:val="24"/>
        </w:rPr>
        <w:t>etivos compartidos. Además, sensibilizar sobre las implicaciones éticas y sociales de la IAG, así como su impacto en la equidad educativa, es crucial para lograr una implementación informada y justa de esta tecnología (Kaya-Kasikci et al., 2023).</w:t>
      </w:r>
    </w:p>
    <w:p w14:paraId="04C6B0FA" w14:textId="77777777" w:rsidR="006A5EC7" w:rsidRDefault="00510C7C">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Un inform</w:t>
      </w:r>
      <w:r>
        <w:rPr>
          <w:rFonts w:ascii="Times New Roman" w:eastAsia="Times New Roman" w:hAnsi="Times New Roman"/>
          <w:sz w:val="24"/>
          <w:szCs w:val="24"/>
        </w:rPr>
        <w:t>e de la Wallace Foundation, basado en dos décadas de investigación en Estados Unidos, destaca que el liderazgo efectivo es uno de los factores más influyentes en el desempeño estudiantil. Los líderes escolares más exitosos se enfocan en las interacciones i</w:t>
      </w:r>
      <w:r>
        <w:rPr>
          <w:rFonts w:ascii="Times New Roman" w:eastAsia="Times New Roman" w:hAnsi="Times New Roman"/>
          <w:sz w:val="24"/>
          <w:szCs w:val="24"/>
        </w:rPr>
        <w:t>nstruccionales con los docentes, fomentan un clima positivo, promueven la colaboración y gestionan estratégicamente los recursos de la institución (Grissom et al., 2021).</w:t>
      </w:r>
    </w:p>
    <w:p w14:paraId="55802097" w14:textId="77777777" w:rsidR="006A5EC7" w:rsidRDefault="00510C7C">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Entre las competencias clave, se subraya la capacidad de construir una visión compart</w:t>
      </w:r>
      <w:r>
        <w:rPr>
          <w:rFonts w:ascii="Times New Roman" w:eastAsia="Times New Roman" w:hAnsi="Times New Roman"/>
          <w:sz w:val="24"/>
          <w:szCs w:val="24"/>
        </w:rPr>
        <w:t>ida con objetivos claros que orienten el trabajo docente y garanticen coherencia con los propósitos educativos. Además, es esencial fortalecer las relaciones colaborativas en la comunidad educativa, promoviendo un liderazgo distribuido que impulse la innov</w:t>
      </w:r>
      <w:r>
        <w:rPr>
          <w:rFonts w:ascii="Times New Roman" w:eastAsia="Times New Roman" w:hAnsi="Times New Roman"/>
          <w:sz w:val="24"/>
          <w:szCs w:val="24"/>
        </w:rPr>
        <w:t>ación pedagógica (Lin, 2022).</w:t>
      </w:r>
    </w:p>
    <w:p w14:paraId="2F6F1C6B" w14:textId="77777777" w:rsidR="006A5EC7" w:rsidRDefault="00510C7C">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lastRenderedPageBreak/>
        <w:t>Finalmente, la toma de decisiones informadas por datos es crucial para evaluar el rendimiento estudiantil, identificar áreas de mejora y asignar recursos eficientemente, lo que exige competencias analíticas para asegurar el pr</w:t>
      </w:r>
      <w:r>
        <w:rPr>
          <w:rFonts w:ascii="Times New Roman" w:eastAsia="Times New Roman" w:hAnsi="Times New Roman"/>
          <w:sz w:val="24"/>
          <w:szCs w:val="24"/>
        </w:rPr>
        <w:t>ogreso académico y el desarrollo integral de los estudiantes (Kaya-Kasikci et al., 2023).</w:t>
      </w:r>
    </w:p>
    <w:p w14:paraId="54A20D5C" w14:textId="77777777" w:rsidR="006A5EC7" w:rsidRDefault="006A5EC7">
      <w:pPr>
        <w:spacing w:line="240" w:lineRule="auto"/>
        <w:jc w:val="both"/>
        <w:rPr>
          <w:rFonts w:ascii="Times New Roman" w:eastAsia="Times New Roman" w:hAnsi="Times New Roman"/>
          <w:sz w:val="24"/>
          <w:szCs w:val="24"/>
        </w:rPr>
      </w:pPr>
    </w:p>
    <w:p w14:paraId="67E7701D" w14:textId="77777777" w:rsidR="006A5EC7" w:rsidRDefault="00510C7C">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1.2. Objetivos</w:t>
      </w:r>
    </w:p>
    <w:p w14:paraId="34C505BE" w14:textId="77777777" w:rsidR="006A5EC7" w:rsidRDefault="00510C7C">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En todo este marco, este estudio se centra en explorar cómo los participantes de dos programas de maestría en educación perciben el potencial de la In</w:t>
      </w:r>
      <w:r>
        <w:rPr>
          <w:rFonts w:ascii="Times New Roman" w:eastAsia="Times New Roman" w:hAnsi="Times New Roman"/>
          <w:sz w:val="24"/>
          <w:szCs w:val="24"/>
        </w:rPr>
        <w:t>teligencia Artificial Generativa (IAG) para fortalecer la gestión y el liderazgo escolar. A través de la reformulación de proyectos educativos utilizando herramientas basadas en IA, se busca analizar las oportunidades que esta tecnología ofrece para optimi</w:t>
      </w:r>
      <w:r>
        <w:rPr>
          <w:rFonts w:ascii="Times New Roman" w:eastAsia="Times New Roman" w:hAnsi="Times New Roman"/>
          <w:sz w:val="24"/>
          <w:szCs w:val="24"/>
        </w:rPr>
        <w:t xml:space="preserve">zar procesos estratégicos, fomentar la colaboración y promover una gestión escolar más eficiente. </w:t>
      </w:r>
    </w:p>
    <w:p w14:paraId="057A1182" w14:textId="77777777" w:rsidR="006A5EC7" w:rsidRDefault="006A5EC7">
      <w:pPr>
        <w:spacing w:line="240" w:lineRule="auto"/>
        <w:ind w:firstLine="284"/>
        <w:jc w:val="both"/>
        <w:rPr>
          <w:rFonts w:ascii="Times New Roman" w:eastAsia="Times New Roman" w:hAnsi="Times New Roman"/>
          <w:sz w:val="24"/>
          <w:szCs w:val="24"/>
        </w:rPr>
      </w:pPr>
    </w:p>
    <w:p w14:paraId="36FE66A5" w14:textId="77777777" w:rsidR="006A5EC7" w:rsidRDefault="00510C7C">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1.3. Metodología</w:t>
      </w:r>
    </w:p>
    <w:p w14:paraId="58B4872E" w14:textId="77777777" w:rsidR="006A5EC7" w:rsidRDefault="00510C7C">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Este trabajo analiza las valoraciones del alumnado de dos maestrías en el empleo de la IAG aplicada al estudio de un caso de un centro escolar. Participaron de la actividad 48 estudiantes: 38 del Máster en Dirección de Centros Educativos de la Universidad </w:t>
      </w:r>
      <w:r>
        <w:rPr>
          <w:rFonts w:ascii="Times New Roman" w:eastAsia="Times New Roman" w:hAnsi="Times New Roman"/>
          <w:sz w:val="24"/>
          <w:szCs w:val="24"/>
        </w:rPr>
        <w:t>Villanueva (España) y 10 del Máster en Innovación Curricular y Evaluación Educativa de la Universidad del Desarrollo (Chile). Cabe mencionar que el 80% cuenta con experiencia en cargos directivos o de gestión intermedia en centros escolares.</w:t>
      </w:r>
    </w:p>
    <w:p w14:paraId="20B2D53E" w14:textId="77777777" w:rsidR="006A5EC7" w:rsidRDefault="00510C7C">
      <w:pPr>
        <w:pBdr>
          <w:top w:val="nil"/>
          <w:left w:val="nil"/>
          <w:bottom w:val="nil"/>
          <w:right w:val="nil"/>
          <w:between w:val="nil"/>
        </w:pBd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La actividad se desarrolló en dos etapas: en primer lugar, el caso propuesto se analizó sin la intervención de la IAG. En un segundo momento, el mismo análisis se realizó a partir de la mediación de la IAG. En ambos casos, el trabajo se desarrolló en equip</w:t>
      </w:r>
      <w:r>
        <w:rPr>
          <w:rFonts w:ascii="Times New Roman" w:eastAsia="Times New Roman" w:hAnsi="Times New Roman"/>
          <w:sz w:val="24"/>
          <w:szCs w:val="24"/>
        </w:rPr>
        <w:t>os.</w:t>
      </w:r>
    </w:p>
    <w:p w14:paraId="07AB63B9" w14:textId="77777777" w:rsidR="006A5EC7" w:rsidRDefault="00510C7C">
      <w:pPr>
        <w:pBdr>
          <w:top w:val="nil"/>
          <w:left w:val="nil"/>
          <w:bottom w:val="nil"/>
          <w:right w:val="nil"/>
          <w:between w:val="nil"/>
        </w:pBd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Se empleó un cuestionario con respuestas abiertas para recoger las opiniones del alumnado relacionadas con percepciones, experiencias y aportes de la IAG en el desarrollo y resolución de la actividad. El análisis del contenido de las respuestas permiti</w:t>
      </w:r>
      <w:r>
        <w:rPr>
          <w:rFonts w:ascii="Times New Roman" w:eastAsia="Times New Roman" w:hAnsi="Times New Roman"/>
          <w:sz w:val="24"/>
          <w:szCs w:val="24"/>
        </w:rPr>
        <w:t xml:space="preserve">ó reconocer unidades de significado a las que se les asignó un código. Estos códigos fueron luego incluidos en temas o categorías más amplias. Para ello, empleamos el método comparativo constante (Gibbs, 2014; McMillan &amp; Schumacher, 2005; Morehouse, 2012; </w:t>
      </w:r>
      <w:r>
        <w:rPr>
          <w:rFonts w:ascii="Times New Roman" w:eastAsia="Times New Roman" w:hAnsi="Times New Roman"/>
          <w:sz w:val="24"/>
          <w:szCs w:val="24"/>
        </w:rPr>
        <w:t>Strauss &amp; Corbin, 2002) y nos servimos del software ATLAS.ti 25.</w:t>
      </w:r>
    </w:p>
    <w:p w14:paraId="551D6C86" w14:textId="77777777" w:rsidR="006A5EC7" w:rsidRDefault="00510C7C">
      <w:pPr>
        <w:pBdr>
          <w:top w:val="nil"/>
          <w:left w:val="nil"/>
          <w:bottom w:val="nil"/>
          <w:right w:val="nil"/>
          <w:between w:val="nil"/>
        </w:pBd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En particular, se desarrollaron las siguientes cuatro etapas:</w:t>
      </w:r>
    </w:p>
    <w:p w14:paraId="64D932FC" w14:textId="77777777" w:rsidR="006A5EC7" w:rsidRDefault="00510C7C">
      <w:pPr>
        <w:numPr>
          <w:ilvl w:val="0"/>
          <w:numId w:val="2"/>
        </w:numPr>
        <w:spacing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Análisis preliminar: </w:t>
      </w:r>
      <w:r>
        <w:rPr>
          <w:rFonts w:ascii="Times New Roman" w:eastAsia="Times New Roman" w:hAnsi="Times New Roman"/>
          <w:sz w:val="24"/>
          <w:szCs w:val="24"/>
        </w:rPr>
        <w:t>se organizaron los materiales recogidos y se realizó una primera lectura completa de las respuestas.</w:t>
      </w:r>
    </w:p>
    <w:p w14:paraId="7B85D35F" w14:textId="77777777" w:rsidR="006A5EC7" w:rsidRDefault="00510C7C">
      <w:pPr>
        <w:numPr>
          <w:ilvl w:val="0"/>
          <w:numId w:val="1"/>
        </w:numPr>
        <w:spacing w:line="240" w:lineRule="auto"/>
        <w:jc w:val="both"/>
        <w:rPr>
          <w:rFonts w:ascii="Times New Roman" w:eastAsia="Times New Roman" w:hAnsi="Times New Roman"/>
          <w:sz w:val="24"/>
          <w:szCs w:val="24"/>
        </w:rPr>
      </w:pPr>
      <w:r>
        <w:rPr>
          <w:rFonts w:ascii="Times New Roman" w:eastAsia="Times New Roman" w:hAnsi="Times New Roman"/>
          <w:i/>
          <w:sz w:val="24"/>
          <w:szCs w:val="24"/>
        </w:rPr>
        <w:t>Codific</w:t>
      </w:r>
      <w:r>
        <w:rPr>
          <w:rFonts w:ascii="Times New Roman" w:eastAsia="Times New Roman" w:hAnsi="Times New Roman"/>
          <w:i/>
          <w:sz w:val="24"/>
          <w:szCs w:val="24"/>
        </w:rPr>
        <w:t xml:space="preserve">ación inicial: </w:t>
      </w:r>
      <w:r>
        <w:rPr>
          <w:rFonts w:ascii="Times New Roman" w:eastAsia="Times New Roman" w:hAnsi="Times New Roman"/>
          <w:sz w:val="24"/>
          <w:szCs w:val="24"/>
        </w:rPr>
        <w:t>se identificaron 98 unidades de significado agrupadas en 20 códigos.</w:t>
      </w:r>
    </w:p>
    <w:p w14:paraId="580ADDF2" w14:textId="77777777" w:rsidR="006A5EC7" w:rsidRDefault="00510C7C">
      <w:pPr>
        <w:numPr>
          <w:ilvl w:val="0"/>
          <w:numId w:val="1"/>
        </w:numPr>
        <w:spacing w:line="240" w:lineRule="auto"/>
        <w:jc w:val="both"/>
        <w:rPr>
          <w:rFonts w:ascii="Times New Roman" w:eastAsia="Times New Roman" w:hAnsi="Times New Roman"/>
          <w:sz w:val="24"/>
          <w:szCs w:val="24"/>
        </w:rPr>
      </w:pPr>
      <w:r>
        <w:rPr>
          <w:rFonts w:ascii="Times New Roman" w:eastAsia="Times New Roman" w:hAnsi="Times New Roman"/>
          <w:i/>
          <w:sz w:val="24"/>
          <w:szCs w:val="24"/>
        </w:rPr>
        <w:t xml:space="preserve">Revisión y depuración: </w:t>
      </w:r>
      <w:r>
        <w:rPr>
          <w:rFonts w:ascii="Times New Roman" w:eastAsia="Times New Roman" w:hAnsi="Times New Roman"/>
          <w:sz w:val="24"/>
          <w:szCs w:val="24"/>
        </w:rPr>
        <w:t>los códigos iniciales fueron depurados y reducidos para lograr una mayor cohesión. Los 20 iniciales, se redujeron a 14. Luego, los datos se volvieron</w:t>
      </w:r>
      <w:r>
        <w:rPr>
          <w:rFonts w:ascii="Times New Roman" w:eastAsia="Times New Roman" w:hAnsi="Times New Roman"/>
          <w:sz w:val="24"/>
          <w:szCs w:val="24"/>
        </w:rPr>
        <w:t xml:space="preserve"> a analizar aplicando el nuevo listado de códigos.</w:t>
      </w:r>
    </w:p>
    <w:p w14:paraId="33F15F43" w14:textId="77777777" w:rsidR="006A5EC7" w:rsidRDefault="00510C7C">
      <w:pPr>
        <w:numPr>
          <w:ilvl w:val="0"/>
          <w:numId w:val="3"/>
        </w:numPr>
        <w:spacing w:line="240" w:lineRule="auto"/>
        <w:jc w:val="both"/>
        <w:rPr>
          <w:rFonts w:ascii="Times New Roman" w:eastAsia="Times New Roman" w:hAnsi="Times New Roman"/>
          <w:sz w:val="24"/>
          <w:szCs w:val="24"/>
        </w:rPr>
      </w:pPr>
      <w:r>
        <w:rPr>
          <w:rFonts w:ascii="Times New Roman" w:eastAsia="Times New Roman" w:hAnsi="Times New Roman"/>
          <w:i/>
          <w:sz w:val="24"/>
          <w:szCs w:val="24"/>
        </w:rPr>
        <w:t>Categorización:</w:t>
      </w:r>
      <w:r>
        <w:rPr>
          <w:rFonts w:ascii="Times New Roman" w:eastAsia="Times New Roman" w:hAnsi="Times New Roman"/>
          <w:sz w:val="24"/>
          <w:szCs w:val="24"/>
        </w:rPr>
        <w:t xml:space="preserve"> se realizó una lectura de cada código procurando hallar en su núcleo denominadores comunes que permitieran integrarlos en conceptos más amplios. La </w:t>
      </w:r>
      <w:r>
        <w:rPr>
          <w:rFonts w:ascii="Times New Roman" w:eastAsia="Times New Roman" w:hAnsi="Times New Roman"/>
          <w:sz w:val="24"/>
          <w:szCs w:val="24"/>
        </w:rPr>
        <w:lastRenderedPageBreak/>
        <w:t xml:space="preserve">codificación descriptiva anterior pasó a </w:t>
      </w:r>
      <w:r>
        <w:rPr>
          <w:rFonts w:ascii="Times New Roman" w:eastAsia="Times New Roman" w:hAnsi="Times New Roman"/>
          <w:sz w:val="24"/>
          <w:szCs w:val="24"/>
        </w:rPr>
        <w:t>una categorización más analítica y con mayor poder explicativo.</w:t>
      </w:r>
    </w:p>
    <w:p w14:paraId="4DE058B8" w14:textId="77777777" w:rsidR="006A5EC7" w:rsidRDefault="00510C7C">
      <w:pPr>
        <w:pBdr>
          <w:top w:val="nil"/>
          <w:left w:val="nil"/>
          <w:bottom w:val="nil"/>
          <w:right w:val="nil"/>
          <w:between w:val="nil"/>
        </w:pBd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Se trató de un proceso inductivo y espiralado</w:t>
      </w:r>
      <w:r>
        <w:rPr>
          <w:rFonts w:ascii="Times New Roman" w:eastAsia="Times New Roman" w:hAnsi="Times New Roman"/>
          <w:sz w:val="24"/>
          <w:szCs w:val="24"/>
        </w:rPr>
        <w:t xml:space="preserve"> de diferenciación e integración de los datos con crecientes niveles de abstracción, síntesis, conceptualización y estructuración teórica de acuerdo con los objetivos del estudio. Se identificaron tres categorías: aportes de la IAG a la gestión escolar, ju</w:t>
      </w:r>
      <w:r>
        <w:rPr>
          <w:rFonts w:ascii="Times New Roman" w:eastAsia="Times New Roman" w:hAnsi="Times New Roman"/>
          <w:sz w:val="24"/>
          <w:szCs w:val="24"/>
        </w:rPr>
        <w:t>icio crítico de la gestión escolar y valoración personal de la actividad.</w:t>
      </w:r>
    </w:p>
    <w:p w14:paraId="32B85A58" w14:textId="77777777" w:rsidR="006A5EC7" w:rsidRDefault="006A5EC7">
      <w:pPr>
        <w:pBdr>
          <w:top w:val="nil"/>
          <w:left w:val="nil"/>
          <w:bottom w:val="nil"/>
          <w:right w:val="nil"/>
          <w:between w:val="nil"/>
        </w:pBdr>
        <w:spacing w:line="240" w:lineRule="auto"/>
        <w:ind w:firstLine="284"/>
        <w:jc w:val="both"/>
        <w:rPr>
          <w:rFonts w:ascii="Times New Roman" w:eastAsia="Times New Roman" w:hAnsi="Times New Roman"/>
          <w:sz w:val="24"/>
          <w:szCs w:val="24"/>
        </w:rPr>
      </w:pPr>
    </w:p>
    <w:p w14:paraId="656EB117" w14:textId="77777777" w:rsidR="006A5EC7" w:rsidRDefault="00510C7C">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1.4. Resultados</w:t>
      </w:r>
    </w:p>
    <w:p w14:paraId="628CB85D" w14:textId="77777777" w:rsidR="006A5EC7" w:rsidRDefault="00510C7C">
      <w:pPr>
        <w:pBdr>
          <w:top w:val="nil"/>
          <w:left w:val="nil"/>
          <w:bottom w:val="nil"/>
          <w:right w:val="nil"/>
          <w:between w:val="nil"/>
        </w:pBd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La mayoría de las personas participantes coincidieron en destacar que la IAG puede operar como una aliada, apoyo o complemento para el desarrollo de los procesos de </w:t>
      </w:r>
      <w:r>
        <w:rPr>
          <w:rFonts w:ascii="Times New Roman" w:eastAsia="Times New Roman" w:hAnsi="Times New Roman"/>
          <w:sz w:val="24"/>
          <w:szCs w:val="24"/>
        </w:rPr>
        <w:t>gestión escolar como el diagnóstico de la situación del centro, la formulación de la visión y misión o contribuir en la elaboración de planes de mejora.</w:t>
      </w:r>
    </w:p>
    <w:p w14:paraId="4B89AF09" w14:textId="77777777" w:rsidR="006A5EC7" w:rsidRDefault="00510C7C">
      <w:pPr>
        <w:pBdr>
          <w:top w:val="nil"/>
          <w:left w:val="nil"/>
          <w:bottom w:val="nil"/>
          <w:right w:val="nil"/>
          <w:between w:val="nil"/>
        </w:pBd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Este apoyo puede manifestarse de diferentes maneras. Como una herramienta para potenciar el análisis al</w:t>
      </w:r>
      <w:r>
        <w:rPr>
          <w:rFonts w:ascii="Times New Roman" w:eastAsia="Times New Roman" w:hAnsi="Times New Roman"/>
          <w:sz w:val="24"/>
          <w:szCs w:val="24"/>
        </w:rPr>
        <w:t xml:space="preserve"> operar con cierta profundidad sobre gran volumen de datos y haciendo observables y poniendo en evidencia matices o información inicialmente no considerada. También se menciona que enriqueció el análisis aportando ideas y sugerencias que ampliaron el enfoq</w:t>
      </w:r>
      <w:r>
        <w:rPr>
          <w:rFonts w:ascii="Times New Roman" w:eastAsia="Times New Roman" w:hAnsi="Times New Roman"/>
          <w:sz w:val="24"/>
          <w:szCs w:val="24"/>
        </w:rPr>
        <w:t>ue primario de los equipos. Además, la IAG proporcionó objetividad al proceso y funcionó para contrastar la producción original de los equipos con los resultados arrojados por la IAG.</w:t>
      </w:r>
    </w:p>
    <w:p w14:paraId="7C0CD1A5" w14:textId="77777777" w:rsidR="006A5EC7" w:rsidRDefault="00510C7C">
      <w:pPr>
        <w:pBdr>
          <w:top w:val="nil"/>
          <w:left w:val="nil"/>
          <w:bottom w:val="nil"/>
          <w:right w:val="nil"/>
          <w:between w:val="nil"/>
        </w:pBd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Por otra parte, las personas participantes destacaron que el empleo de l</w:t>
      </w:r>
      <w:r>
        <w:rPr>
          <w:rFonts w:ascii="Times New Roman" w:eastAsia="Times New Roman" w:hAnsi="Times New Roman"/>
          <w:sz w:val="24"/>
          <w:szCs w:val="24"/>
        </w:rPr>
        <w:t>a IAG aceleró el proceso de análisis. Llevado al plano de la gestión, sostienen que esto permitiría reducir el tiempo que los equipos directivos dedican a tareas rutinarias y liberarlos para enfocarse en aquellas con mayor valor pedagógico.</w:t>
      </w:r>
    </w:p>
    <w:p w14:paraId="12D39DEE" w14:textId="77777777" w:rsidR="006A5EC7" w:rsidRDefault="00510C7C">
      <w:pPr>
        <w:pBdr>
          <w:top w:val="nil"/>
          <w:left w:val="nil"/>
          <w:bottom w:val="nil"/>
          <w:right w:val="nil"/>
          <w:between w:val="nil"/>
        </w:pBd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Otra de las cue</w:t>
      </w:r>
      <w:r>
        <w:rPr>
          <w:rFonts w:ascii="Times New Roman" w:eastAsia="Times New Roman" w:hAnsi="Times New Roman"/>
          <w:sz w:val="24"/>
          <w:szCs w:val="24"/>
        </w:rPr>
        <w:t>stiones es la precisión y contextualización de la elaboración del prompt a consultar a la IAG. Este ha sido un aspecto señalado como crítico para obtener mejores respuestas. Por lo tanto, la gestión escolar debe preparar y delimitar de manera precisa sus c</w:t>
      </w:r>
      <w:r>
        <w:rPr>
          <w:rFonts w:ascii="Times New Roman" w:eastAsia="Times New Roman" w:hAnsi="Times New Roman"/>
          <w:sz w:val="24"/>
          <w:szCs w:val="24"/>
        </w:rPr>
        <w:t>onsultas a la IAG para obtener resultados relevantes.</w:t>
      </w:r>
    </w:p>
    <w:p w14:paraId="5B5E7805" w14:textId="77777777" w:rsidR="006A5EC7" w:rsidRDefault="00510C7C">
      <w:pPr>
        <w:pBdr>
          <w:top w:val="nil"/>
          <w:left w:val="nil"/>
          <w:bottom w:val="nil"/>
          <w:right w:val="nil"/>
          <w:between w:val="nil"/>
        </w:pBd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Por otra parte, las respuestas destacaron que el empleo de la IA no exime a la gestión escolar de realizar un cuidadoso juicio y supervisión de los resultados arrojados con la finalidad de corroborar qu</w:t>
      </w:r>
      <w:r>
        <w:rPr>
          <w:rFonts w:ascii="Times New Roman" w:eastAsia="Times New Roman" w:hAnsi="Times New Roman"/>
          <w:sz w:val="24"/>
          <w:szCs w:val="24"/>
        </w:rPr>
        <w:t>e las sugerencias resulten pertinentes. Por tanto, si bien se reconocen y valoran los aportes de la IAG y su potencial, se sugiere que estos se utilicen de manera crítica y reflexiva.</w:t>
      </w:r>
    </w:p>
    <w:p w14:paraId="522F395F" w14:textId="77777777" w:rsidR="006A5EC7" w:rsidRDefault="00510C7C">
      <w:pPr>
        <w:pBdr>
          <w:top w:val="nil"/>
          <w:left w:val="nil"/>
          <w:bottom w:val="nil"/>
          <w:right w:val="nil"/>
          <w:between w:val="nil"/>
        </w:pBd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Finalmente, se recoge una valoración positiva tanto de la actividad como</w:t>
      </w:r>
      <w:r>
        <w:rPr>
          <w:rFonts w:ascii="Times New Roman" w:eastAsia="Times New Roman" w:hAnsi="Times New Roman"/>
          <w:sz w:val="24"/>
          <w:szCs w:val="24"/>
        </w:rPr>
        <w:t xml:space="preserve"> del empleo de la IAG. Se observó una modificación en la percepción inicial de muchas de las personas participantes quienes, a partir de su uso, pudieron apreciar aportes significativos para la gestión escolar. Esto ha llevado a que manifestaran su inquiet</w:t>
      </w:r>
      <w:r>
        <w:rPr>
          <w:rFonts w:ascii="Times New Roman" w:eastAsia="Times New Roman" w:hAnsi="Times New Roman"/>
          <w:sz w:val="24"/>
          <w:szCs w:val="24"/>
        </w:rPr>
        <w:t>ud por profundizar en su utilización y promover su mayor inclusión como herramienta.</w:t>
      </w:r>
    </w:p>
    <w:p w14:paraId="78B8DE61" w14:textId="77777777" w:rsidR="006A5EC7" w:rsidRDefault="006A5EC7">
      <w:pPr>
        <w:pBdr>
          <w:top w:val="nil"/>
          <w:left w:val="nil"/>
          <w:bottom w:val="nil"/>
          <w:right w:val="nil"/>
          <w:between w:val="nil"/>
        </w:pBdr>
        <w:spacing w:line="240" w:lineRule="auto"/>
        <w:ind w:firstLine="284"/>
        <w:jc w:val="both"/>
        <w:rPr>
          <w:rFonts w:ascii="Times New Roman" w:eastAsia="Times New Roman" w:hAnsi="Times New Roman"/>
          <w:sz w:val="24"/>
          <w:szCs w:val="24"/>
        </w:rPr>
      </w:pPr>
    </w:p>
    <w:p w14:paraId="67382C84" w14:textId="77777777" w:rsidR="006A5EC7" w:rsidRDefault="006A5EC7">
      <w:pPr>
        <w:pBdr>
          <w:top w:val="nil"/>
          <w:left w:val="nil"/>
          <w:bottom w:val="nil"/>
          <w:right w:val="nil"/>
          <w:between w:val="nil"/>
        </w:pBdr>
        <w:spacing w:line="240" w:lineRule="auto"/>
        <w:ind w:firstLine="284"/>
        <w:jc w:val="both"/>
        <w:rPr>
          <w:rFonts w:ascii="Times New Roman" w:eastAsia="Times New Roman" w:hAnsi="Times New Roman"/>
          <w:sz w:val="24"/>
          <w:szCs w:val="24"/>
        </w:rPr>
      </w:pPr>
    </w:p>
    <w:p w14:paraId="7110B8C3" w14:textId="77777777" w:rsidR="006A5EC7" w:rsidRDefault="00510C7C">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 xml:space="preserve">1.5. Conclusiones </w:t>
      </w:r>
    </w:p>
    <w:p w14:paraId="298D17DD" w14:textId="77777777" w:rsidR="006A5EC7" w:rsidRDefault="00510C7C">
      <w:pPr>
        <w:pBdr>
          <w:top w:val="nil"/>
          <w:left w:val="nil"/>
          <w:bottom w:val="nil"/>
          <w:right w:val="nil"/>
          <w:between w:val="nil"/>
        </w:pBd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En tiempos donde nuevos desarrollos tecnológicos emergen con mayor frecuencia y se expanden rápidamente sobre cada vez más campos, los centros escolar</w:t>
      </w:r>
      <w:r>
        <w:rPr>
          <w:rFonts w:ascii="Times New Roman" w:eastAsia="Times New Roman" w:hAnsi="Times New Roman"/>
          <w:sz w:val="24"/>
          <w:szCs w:val="24"/>
        </w:rPr>
        <w:t xml:space="preserve">es no pueden ignorar su </w:t>
      </w:r>
      <w:r>
        <w:rPr>
          <w:rFonts w:ascii="Times New Roman" w:eastAsia="Times New Roman" w:hAnsi="Times New Roman"/>
          <w:sz w:val="24"/>
          <w:szCs w:val="24"/>
        </w:rPr>
        <w:lastRenderedPageBreak/>
        <w:t>influencia. En este marco, una faceta del desafío del liderazgo es capitalizarlos en beneficio de toda la comunidad educativa.</w:t>
      </w:r>
    </w:p>
    <w:p w14:paraId="24D9390D" w14:textId="77777777" w:rsidR="006A5EC7" w:rsidRDefault="00510C7C">
      <w:pPr>
        <w:pBdr>
          <w:top w:val="nil"/>
          <w:left w:val="nil"/>
          <w:bottom w:val="nil"/>
          <w:right w:val="nil"/>
          <w:between w:val="nil"/>
        </w:pBd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Nuestro estudio avanza en esa línea y propone una reflexión acerca del empleo de la IAG como apoyo y pote</w:t>
      </w:r>
      <w:r>
        <w:rPr>
          <w:rFonts w:ascii="Times New Roman" w:eastAsia="Times New Roman" w:hAnsi="Times New Roman"/>
          <w:sz w:val="24"/>
          <w:szCs w:val="24"/>
        </w:rPr>
        <w:t>nciación de procesos de gestión. Los hallazgos muestran que la IAG representa un recurso valioso, al tiempo que ofrece la oportunidad para enfocar en tareas con impacto pedagógico, siempre que se emplee de manera contextualizada, crítica y reflexiva. Consi</w:t>
      </w:r>
      <w:r>
        <w:rPr>
          <w:rFonts w:ascii="Times New Roman" w:eastAsia="Times New Roman" w:hAnsi="Times New Roman"/>
          <w:sz w:val="24"/>
          <w:szCs w:val="24"/>
        </w:rPr>
        <w:t>deramos que los hallazgos de este trabajo contribuyen al debate sobre el papel de las tecnologías emergentes en la transformación de la gestión escolar.</w:t>
      </w:r>
    </w:p>
    <w:p w14:paraId="3C6E714E" w14:textId="77777777" w:rsidR="006A5EC7" w:rsidRDefault="00510C7C">
      <w:pPr>
        <w:pBdr>
          <w:top w:val="nil"/>
          <w:left w:val="nil"/>
          <w:bottom w:val="nil"/>
          <w:right w:val="nil"/>
          <w:between w:val="nil"/>
        </w:pBd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Por otra parte, la limitación en el alcance y en el número de participantes de esta investigación invit</w:t>
      </w:r>
      <w:r>
        <w:rPr>
          <w:rFonts w:ascii="Times New Roman" w:eastAsia="Times New Roman" w:hAnsi="Times New Roman"/>
          <w:sz w:val="24"/>
          <w:szCs w:val="24"/>
        </w:rPr>
        <w:t>an a continuar profundizando en el grado de conocimiento y uso de la IAG por parte de los directivos y a explorar su impacto en el liderazgo escolar y la equidad educativa. También propone que, frente a las nuevas tecnologías, prever espacios y dedicar tie</w:t>
      </w:r>
      <w:r>
        <w:rPr>
          <w:rFonts w:ascii="Times New Roman" w:eastAsia="Times New Roman" w:hAnsi="Times New Roman"/>
          <w:sz w:val="24"/>
          <w:szCs w:val="24"/>
        </w:rPr>
        <w:t xml:space="preserve">mpos para el desarrollo de competencias específicas puede resultar una prometedora inversión para el liderazgo escolar. </w:t>
      </w:r>
    </w:p>
    <w:p w14:paraId="73FD7F0C" w14:textId="77777777" w:rsidR="006A5EC7" w:rsidRDefault="006A5EC7">
      <w:pPr>
        <w:spacing w:line="240" w:lineRule="auto"/>
        <w:ind w:firstLine="284"/>
        <w:jc w:val="both"/>
        <w:rPr>
          <w:rFonts w:ascii="Times New Roman" w:eastAsia="Times New Roman" w:hAnsi="Times New Roman"/>
          <w:sz w:val="24"/>
          <w:szCs w:val="24"/>
        </w:rPr>
      </w:pPr>
    </w:p>
    <w:p w14:paraId="5EFFD4A9" w14:textId="77777777" w:rsidR="006A5EC7" w:rsidRDefault="00510C7C">
      <w:pP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REFERENCIAS</w:t>
      </w:r>
    </w:p>
    <w:p w14:paraId="178E476A" w14:textId="77777777" w:rsidR="006A5EC7" w:rsidRDefault="00510C7C">
      <w:pPr>
        <w:spacing w:line="240" w:lineRule="auto"/>
        <w:ind w:left="709" w:hanging="709"/>
        <w:jc w:val="both"/>
        <w:rPr>
          <w:rFonts w:ascii="Times New Roman" w:eastAsia="Times New Roman" w:hAnsi="Times New Roman"/>
          <w:color w:val="0D0D0D"/>
          <w:sz w:val="24"/>
          <w:szCs w:val="24"/>
          <w:highlight w:val="white"/>
        </w:rPr>
      </w:pPr>
      <w:r>
        <w:rPr>
          <w:rFonts w:ascii="Times New Roman" w:eastAsia="Times New Roman" w:hAnsi="Times New Roman"/>
          <w:sz w:val="24"/>
          <w:szCs w:val="24"/>
        </w:rPr>
        <w:t xml:space="preserve">Fusarelli, B. C., &amp; Fusarelli, L. D. (2024). Leadership for the Future: Enhancing Principal Preparation Through Standards </w:t>
      </w:r>
      <w:r>
        <w:rPr>
          <w:rFonts w:ascii="Times New Roman" w:eastAsia="Times New Roman" w:hAnsi="Times New Roman"/>
          <w:sz w:val="24"/>
          <w:szCs w:val="24"/>
        </w:rPr>
        <w:t xml:space="preserve">and Innovation. </w:t>
      </w:r>
      <w:r>
        <w:rPr>
          <w:rFonts w:ascii="Times New Roman" w:eastAsia="Times New Roman" w:hAnsi="Times New Roman"/>
          <w:i/>
          <w:sz w:val="24"/>
          <w:szCs w:val="24"/>
        </w:rPr>
        <w:t>Education Sciences</w:t>
      </w:r>
      <w:r>
        <w:rPr>
          <w:rFonts w:ascii="Times New Roman" w:eastAsia="Times New Roman" w:hAnsi="Times New Roman"/>
          <w:sz w:val="24"/>
          <w:szCs w:val="24"/>
        </w:rPr>
        <w:t>, 14(12), 1403.</w:t>
      </w:r>
      <w:hyperlink r:id="rId8">
        <w:r>
          <w:rPr>
            <w:rFonts w:ascii="Times New Roman" w:eastAsia="Times New Roman" w:hAnsi="Times New Roman"/>
            <w:sz w:val="24"/>
            <w:szCs w:val="24"/>
          </w:rPr>
          <w:t xml:space="preserve"> </w:t>
        </w:r>
      </w:hyperlink>
      <w:hyperlink r:id="rId9">
        <w:r>
          <w:rPr>
            <w:rFonts w:ascii="Times New Roman" w:eastAsia="Times New Roman" w:hAnsi="Times New Roman"/>
            <w:color w:val="1155CC"/>
            <w:sz w:val="24"/>
            <w:szCs w:val="24"/>
            <w:u w:val="single"/>
          </w:rPr>
          <w:t>https://doi.org/10.3390/educsci14121403</w:t>
        </w:r>
      </w:hyperlink>
    </w:p>
    <w:p w14:paraId="48567630" w14:textId="77777777" w:rsidR="006A5EC7" w:rsidRDefault="00510C7C">
      <w:pPr>
        <w:spacing w:line="240" w:lineRule="auto"/>
        <w:ind w:left="709" w:hanging="709"/>
        <w:jc w:val="both"/>
        <w:rPr>
          <w:rFonts w:ascii="Times New Roman" w:eastAsia="Times New Roman" w:hAnsi="Times New Roman"/>
          <w:sz w:val="24"/>
          <w:szCs w:val="24"/>
        </w:rPr>
      </w:pPr>
      <w:r>
        <w:rPr>
          <w:rFonts w:ascii="Times New Roman" w:eastAsia="Times New Roman" w:hAnsi="Times New Roman"/>
          <w:color w:val="0D0D0D"/>
          <w:sz w:val="24"/>
          <w:szCs w:val="24"/>
          <w:highlight w:val="white"/>
        </w:rPr>
        <w:t xml:space="preserve">Fullan, M., Azorin, C., Harris, A., &amp; Jones, M. (2023). Artificial intelligence and school leadership: Challenges, opportunities and implications. </w:t>
      </w:r>
      <w:r>
        <w:rPr>
          <w:rFonts w:ascii="Times New Roman" w:eastAsia="Times New Roman" w:hAnsi="Times New Roman"/>
          <w:i/>
          <w:color w:val="0D0D0D"/>
          <w:sz w:val="24"/>
          <w:szCs w:val="24"/>
          <w:highlight w:val="white"/>
        </w:rPr>
        <w:t>School Leadership &amp; Management.</w:t>
      </w:r>
      <w:hyperlink r:id="rId10">
        <w:r>
          <w:rPr>
            <w:rFonts w:ascii="Times New Roman" w:eastAsia="Times New Roman" w:hAnsi="Times New Roman"/>
            <w:color w:val="0D0D0D"/>
            <w:sz w:val="24"/>
            <w:szCs w:val="24"/>
            <w:highlight w:val="white"/>
          </w:rPr>
          <w:t xml:space="preserve"> </w:t>
        </w:r>
      </w:hyperlink>
      <w:hyperlink r:id="rId11">
        <w:r>
          <w:rPr>
            <w:rFonts w:ascii="Times New Roman" w:eastAsia="Times New Roman" w:hAnsi="Times New Roman"/>
            <w:color w:val="1155CC"/>
            <w:sz w:val="24"/>
            <w:szCs w:val="24"/>
            <w:u w:val="single"/>
          </w:rPr>
          <w:t>https://doi.org/10.1080/13632434.2023.2246856</w:t>
        </w:r>
      </w:hyperlink>
    </w:p>
    <w:p w14:paraId="3800F09F" w14:textId="77777777" w:rsidR="006A5EC7" w:rsidRDefault="00510C7C">
      <w:pPr>
        <w:spacing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Holmes, W., Hui, Z., Miao, F., &amp; Ronghuai, H. (2021). </w:t>
      </w:r>
      <w:r>
        <w:rPr>
          <w:rFonts w:ascii="Times New Roman" w:eastAsia="Times New Roman" w:hAnsi="Times New Roman"/>
          <w:i/>
          <w:sz w:val="24"/>
          <w:szCs w:val="24"/>
        </w:rPr>
        <w:t>Inteligencia artificial y educación: Guía para las personas a cargo de formular políticas</w:t>
      </w:r>
      <w:r>
        <w:rPr>
          <w:rFonts w:ascii="Times New Roman" w:eastAsia="Times New Roman" w:hAnsi="Times New Roman"/>
          <w:sz w:val="24"/>
          <w:szCs w:val="24"/>
        </w:rPr>
        <w:t>. UNESCO Publishing.</w:t>
      </w:r>
    </w:p>
    <w:p w14:paraId="171BCDCB" w14:textId="77777777" w:rsidR="006A5EC7" w:rsidRDefault="00510C7C">
      <w:pPr>
        <w:spacing w:line="240" w:lineRule="auto"/>
        <w:ind w:left="480"/>
        <w:jc w:val="both"/>
        <w:rPr>
          <w:rFonts w:ascii="Times New Roman" w:eastAsia="Times New Roman" w:hAnsi="Times New Roman"/>
          <w:sz w:val="24"/>
          <w:szCs w:val="24"/>
        </w:rPr>
      </w:pPr>
      <w:r>
        <w:rPr>
          <w:rFonts w:ascii="Times New Roman" w:eastAsia="Times New Roman" w:hAnsi="Times New Roman"/>
          <w:sz w:val="24"/>
          <w:szCs w:val="24"/>
        </w:rPr>
        <w:t xml:space="preserve">Gibbs, G. (2014). </w:t>
      </w:r>
      <w:r>
        <w:rPr>
          <w:rFonts w:ascii="Times New Roman" w:eastAsia="Times New Roman" w:hAnsi="Times New Roman"/>
          <w:i/>
          <w:sz w:val="24"/>
          <w:szCs w:val="24"/>
        </w:rPr>
        <w:t>El análisis de datos cualitativos en investigación cualitativa</w:t>
      </w:r>
      <w:r>
        <w:rPr>
          <w:rFonts w:ascii="Times New Roman" w:eastAsia="Times New Roman" w:hAnsi="Times New Roman"/>
          <w:sz w:val="24"/>
          <w:szCs w:val="24"/>
        </w:rPr>
        <w:t>. Morata.</w:t>
      </w:r>
    </w:p>
    <w:p w14:paraId="20B2A9E8" w14:textId="77777777" w:rsidR="006A5EC7" w:rsidRDefault="00510C7C">
      <w:pPr>
        <w:spacing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Grissom, Jason A., Anna J. Egalite, and Constance A. Lin</w:t>
      </w:r>
      <w:r>
        <w:rPr>
          <w:rFonts w:ascii="Times New Roman" w:eastAsia="Times New Roman" w:hAnsi="Times New Roman"/>
          <w:sz w:val="24"/>
          <w:szCs w:val="24"/>
        </w:rPr>
        <w:t xml:space="preserve">dsay (2021). </w:t>
      </w:r>
      <w:r>
        <w:rPr>
          <w:rFonts w:ascii="Times New Roman" w:eastAsia="Times New Roman" w:hAnsi="Times New Roman"/>
          <w:i/>
          <w:sz w:val="24"/>
          <w:szCs w:val="24"/>
        </w:rPr>
        <w:t>How Principals Affect Students and Schools: A Systematic Synthesis of Two Decades of Research</w:t>
      </w:r>
      <w:r>
        <w:rPr>
          <w:rFonts w:ascii="Times New Roman" w:eastAsia="Times New Roman" w:hAnsi="Times New Roman"/>
          <w:sz w:val="24"/>
          <w:szCs w:val="24"/>
        </w:rPr>
        <w:t>. New York: The Wallace Foundation. Available at</w:t>
      </w:r>
      <w:hyperlink r:id="rId12">
        <w:r>
          <w:rPr>
            <w:rFonts w:ascii="Times New Roman" w:eastAsia="Times New Roman" w:hAnsi="Times New Roman"/>
            <w:sz w:val="24"/>
            <w:szCs w:val="24"/>
          </w:rPr>
          <w:t xml:space="preserve"> </w:t>
        </w:r>
      </w:hyperlink>
      <w:hyperlink r:id="rId13">
        <w:r>
          <w:rPr>
            <w:rFonts w:ascii="Times New Roman" w:eastAsia="Times New Roman" w:hAnsi="Times New Roman"/>
            <w:color w:val="1155CC"/>
            <w:sz w:val="24"/>
            <w:szCs w:val="24"/>
            <w:u w:val="single"/>
          </w:rPr>
          <w:t>http://www.wallacefoundation.org/principalsynthesis</w:t>
        </w:r>
      </w:hyperlink>
    </w:p>
    <w:p w14:paraId="012CF5DD" w14:textId="77777777" w:rsidR="006A5EC7" w:rsidRDefault="00510C7C">
      <w:pPr>
        <w:spacing w:line="240" w:lineRule="auto"/>
        <w:ind w:left="709" w:hanging="709"/>
        <w:jc w:val="both"/>
        <w:rPr>
          <w:rFonts w:ascii="Times New Roman" w:eastAsia="Times New Roman" w:hAnsi="Times New Roman"/>
          <w:color w:val="0D0D0D"/>
          <w:sz w:val="24"/>
          <w:szCs w:val="24"/>
          <w:highlight w:val="white"/>
        </w:rPr>
      </w:pPr>
      <w:r>
        <w:rPr>
          <w:rFonts w:ascii="Times New Roman" w:eastAsia="Times New Roman" w:hAnsi="Times New Roman"/>
          <w:sz w:val="24"/>
          <w:szCs w:val="24"/>
        </w:rPr>
        <w:t xml:space="preserve">Karakose, T., Polat, H., Tülübaş, T., &amp; Demirkol, M. (2024). A Review of the Conceptual Structure and Evolution of Digital Leadership Research in Education. </w:t>
      </w:r>
      <w:r>
        <w:rPr>
          <w:rFonts w:ascii="Times New Roman" w:eastAsia="Times New Roman" w:hAnsi="Times New Roman"/>
          <w:i/>
          <w:sz w:val="24"/>
          <w:szCs w:val="24"/>
        </w:rPr>
        <w:t>Educat</w:t>
      </w:r>
      <w:r>
        <w:rPr>
          <w:rFonts w:ascii="Times New Roman" w:eastAsia="Times New Roman" w:hAnsi="Times New Roman"/>
          <w:i/>
          <w:sz w:val="24"/>
          <w:szCs w:val="24"/>
        </w:rPr>
        <w:t>ion Sciences</w:t>
      </w:r>
      <w:r>
        <w:rPr>
          <w:rFonts w:ascii="Times New Roman" w:eastAsia="Times New Roman" w:hAnsi="Times New Roman"/>
          <w:sz w:val="24"/>
          <w:szCs w:val="24"/>
        </w:rPr>
        <w:t>, 14(11), 1166.</w:t>
      </w:r>
      <w:hyperlink r:id="rId14">
        <w:r>
          <w:rPr>
            <w:rFonts w:ascii="Times New Roman" w:eastAsia="Times New Roman" w:hAnsi="Times New Roman"/>
            <w:sz w:val="24"/>
            <w:szCs w:val="24"/>
          </w:rPr>
          <w:t xml:space="preserve"> </w:t>
        </w:r>
      </w:hyperlink>
      <w:hyperlink r:id="rId15">
        <w:r>
          <w:rPr>
            <w:rFonts w:ascii="Times New Roman" w:eastAsia="Times New Roman" w:hAnsi="Times New Roman"/>
            <w:color w:val="1155CC"/>
            <w:sz w:val="24"/>
            <w:szCs w:val="24"/>
            <w:u w:val="single"/>
          </w:rPr>
          <w:t>https://doi.org/10.3390/educsci14111166</w:t>
        </w:r>
      </w:hyperlink>
    </w:p>
    <w:p w14:paraId="34E0C4D3" w14:textId="77777777" w:rsidR="006A5EC7" w:rsidRDefault="00510C7C">
      <w:pPr>
        <w:spacing w:line="240" w:lineRule="auto"/>
        <w:ind w:left="709" w:hanging="709"/>
        <w:jc w:val="both"/>
        <w:rPr>
          <w:rFonts w:ascii="Times New Roman" w:eastAsia="Times New Roman" w:hAnsi="Times New Roman"/>
          <w:color w:val="0D0D0D"/>
          <w:sz w:val="24"/>
          <w:szCs w:val="24"/>
          <w:highlight w:val="white"/>
        </w:rPr>
      </w:pPr>
      <w:r>
        <w:rPr>
          <w:rFonts w:ascii="Times New Roman" w:eastAsia="Times New Roman" w:hAnsi="Times New Roman"/>
          <w:color w:val="0D0D0D"/>
          <w:sz w:val="24"/>
          <w:szCs w:val="24"/>
          <w:highlight w:val="white"/>
        </w:rPr>
        <w:t xml:space="preserve">Kaya-Kasikci, S., Zayim-Kurtay, M., &amp; Kondakci, Y. (2023). The role of leadership in developing a climate of technology integration in public schools. </w:t>
      </w:r>
      <w:r>
        <w:rPr>
          <w:rFonts w:ascii="Times New Roman" w:eastAsia="Times New Roman" w:hAnsi="Times New Roman"/>
          <w:i/>
          <w:color w:val="0D0D0D"/>
          <w:sz w:val="24"/>
          <w:szCs w:val="24"/>
          <w:highlight w:val="white"/>
        </w:rPr>
        <w:t>Teaching and Teacher Education</w:t>
      </w:r>
      <w:r>
        <w:rPr>
          <w:rFonts w:ascii="Times New Roman" w:eastAsia="Times New Roman" w:hAnsi="Times New Roman"/>
          <w:color w:val="0D0D0D"/>
          <w:sz w:val="24"/>
          <w:szCs w:val="24"/>
          <w:highlight w:val="white"/>
        </w:rPr>
        <w:t xml:space="preserve">, 132. </w:t>
      </w:r>
      <w:hyperlink r:id="rId16">
        <w:r>
          <w:rPr>
            <w:rFonts w:ascii="Times New Roman" w:eastAsia="Times New Roman" w:hAnsi="Times New Roman"/>
            <w:color w:val="1155CC"/>
            <w:sz w:val="24"/>
            <w:szCs w:val="24"/>
            <w:u w:val="single"/>
          </w:rPr>
          <w:t>https:</w:t>
        </w:r>
        <w:r>
          <w:rPr>
            <w:rFonts w:ascii="Times New Roman" w:eastAsia="Times New Roman" w:hAnsi="Times New Roman"/>
            <w:color w:val="1155CC"/>
            <w:sz w:val="24"/>
            <w:szCs w:val="24"/>
            <w:u w:val="single"/>
          </w:rPr>
          <w:t>//doi.org/10.1016/j.tate.2023.104234</w:t>
        </w:r>
      </w:hyperlink>
    </w:p>
    <w:p w14:paraId="2DEBAC92" w14:textId="77777777" w:rsidR="006A5EC7" w:rsidRDefault="00510C7C">
      <w:pPr>
        <w:spacing w:line="240" w:lineRule="auto"/>
        <w:ind w:left="709" w:hanging="709"/>
        <w:jc w:val="both"/>
        <w:rPr>
          <w:rFonts w:ascii="Times New Roman" w:eastAsia="Times New Roman" w:hAnsi="Times New Roman"/>
          <w:color w:val="0D0D0D"/>
          <w:sz w:val="24"/>
          <w:szCs w:val="24"/>
          <w:highlight w:val="white"/>
        </w:rPr>
      </w:pPr>
      <w:r>
        <w:rPr>
          <w:rFonts w:ascii="Times New Roman" w:eastAsia="Times New Roman" w:hAnsi="Times New Roman"/>
          <w:color w:val="0D0D0D"/>
          <w:sz w:val="24"/>
          <w:szCs w:val="24"/>
          <w:highlight w:val="white"/>
        </w:rPr>
        <w:t xml:space="preserve">Leithwood, K., Harris, A., &amp; Hopkins, D. (2020). Seven strong claims about successful school leadership revisited. </w:t>
      </w:r>
      <w:r>
        <w:rPr>
          <w:rFonts w:ascii="Times New Roman" w:eastAsia="Times New Roman" w:hAnsi="Times New Roman"/>
          <w:i/>
          <w:color w:val="0D0D0D"/>
          <w:sz w:val="24"/>
          <w:szCs w:val="24"/>
          <w:highlight w:val="white"/>
        </w:rPr>
        <w:t>School Leadership &amp; Management</w:t>
      </w:r>
      <w:r>
        <w:rPr>
          <w:rFonts w:ascii="Times New Roman" w:eastAsia="Times New Roman" w:hAnsi="Times New Roman"/>
          <w:color w:val="0D0D0D"/>
          <w:sz w:val="24"/>
          <w:szCs w:val="24"/>
          <w:highlight w:val="white"/>
        </w:rPr>
        <w:t>, 40(1), 5-22.</w:t>
      </w:r>
      <w:hyperlink r:id="rId17">
        <w:r>
          <w:rPr>
            <w:rFonts w:ascii="Times New Roman" w:eastAsia="Times New Roman" w:hAnsi="Times New Roman"/>
            <w:color w:val="0D0D0D"/>
            <w:sz w:val="24"/>
            <w:szCs w:val="24"/>
            <w:highlight w:val="white"/>
          </w:rPr>
          <w:t xml:space="preserve"> </w:t>
        </w:r>
      </w:hyperlink>
      <w:hyperlink r:id="rId18">
        <w:r>
          <w:rPr>
            <w:rFonts w:ascii="Times New Roman" w:eastAsia="Times New Roman" w:hAnsi="Times New Roman"/>
            <w:color w:val="1155CC"/>
            <w:sz w:val="24"/>
            <w:szCs w:val="24"/>
            <w:u w:val="single"/>
          </w:rPr>
          <w:t>https://doi.org/10.1080/13632434.2019.1596077</w:t>
        </w:r>
      </w:hyperlink>
    </w:p>
    <w:p w14:paraId="45481AD1" w14:textId="77777777" w:rsidR="006A5EC7" w:rsidRDefault="00510C7C">
      <w:pPr>
        <w:spacing w:line="240" w:lineRule="auto"/>
        <w:ind w:left="709" w:hanging="709"/>
        <w:jc w:val="both"/>
        <w:rPr>
          <w:rFonts w:ascii="Times New Roman" w:eastAsia="Times New Roman" w:hAnsi="Times New Roman"/>
          <w:sz w:val="24"/>
          <w:szCs w:val="24"/>
        </w:rPr>
      </w:pPr>
      <w:r>
        <w:rPr>
          <w:rFonts w:ascii="Times New Roman" w:eastAsia="Times New Roman" w:hAnsi="Times New Roman"/>
          <w:color w:val="0D0D0D"/>
          <w:sz w:val="24"/>
          <w:szCs w:val="24"/>
          <w:highlight w:val="white"/>
        </w:rPr>
        <w:t>Lim, W. M., Gunasekara, A., Pallant, J. L., Pallant, J. I., &amp; Pechenkina, E. (2023). Generative AI and the future of education: Ragnarök or</w:t>
      </w:r>
      <w:r>
        <w:rPr>
          <w:rFonts w:ascii="Times New Roman" w:eastAsia="Times New Roman" w:hAnsi="Times New Roman"/>
          <w:color w:val="0D0D0D"/>
          <w:sz w:val="24"/>
          <w:szCs w:val="24"/>
          <w:highlight w:val="white"/>
        </w:rPr>
        <w:t xml:space="preserve"> reformation? A paradoxical perspective </w:t>
      </w:r>
      <w:r>
        <w:rPr>
          <w:rFonts w:ascii="Times New Roman" w:eastAsia="Times New Roman" w:hAnsi="Times New Roman"/>
          <w:color w:val="0D0D0D"/>
          <w:sz w:val="24"/>
          <w:szCs w:val="24"/>
          <w:highlight w:val="white"/>
        </w:rPr>
        <w:lastRenderedPageBreak/>
        <w:t xml:space="preserve">from management educators. </w:t>
      </w:r>
      <w:r>
        <w:rPr>
          <w:rFonts w:ascii="Times New Roman" w:eastAsia="Times New Roman" w:hAnsi="Times New Roman"/>
          <w:i/>
          <w:color w:val="0D0D0D"/>
          <w:sz w:val="24"/>
          <w:szCs w:val="24"/>
          <w:highlight w:val="white"/>
        </w:rPr>
        <w:t>The International Journal of Management Education</w:t>
      </w:r>
      <w:r>
        <w:rPr>
          <w:rFonts w:ascii="Times New Roman" w:eastAsia="Times New Roman" w:hAnsi="Times New Roman"/>
          <w:color w:val="0D0D0D"/>
          <w:sz w:val="24"/>
          <w:szCs w:val="24"/>
          <w:highlight w:val="white"/>
        </w:rPr>
        <w:t xml:space="preserve">, 21(2), 100790. </w:t>
      </w:r>
      <w:hyperlink r:id="rId19">
        <w:r>
          <w:rPr>
            <w:rFonts w:ascii="Times New Roman" w:eastAsia="Times New Roman" w:hAnsi="Times New Roman"/>
            <w:color w:val="1155CC"/>
            <w:sz w:val="24"/>
            <w:szCs w:val="24"/>
            <w:highlight w:val="white"/>
            <w:u w:val="single"/>
          </w:rPr>
          <w:t>https://doi.org/10.1016/j.ijme.2023.100790</w:t>
        </w:r>
      </w:hyperlink>
    </w:p>
    <w:p w14:paraId="7A39A7D7" w14:textId="77777777" w:rsidR="006A5EC7" w:rsidRDefault="00510C7C">
      <w:pPr>
        <w:spacing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McMillan, J., &amp; Sc</w:t>
      </w:r>
      <w:r>
        <w:rPr>
          <w:rFonts w:ascii="Times New Roman" w:eastAsia="Times New Roman" w:hAnsi="Times New Roman"/>
          <w:sz w:val="24"/>
          <w:szCs w:val="24"/>
        </w:rPr>
        <w:t xml:space="preserve">humacher, S. (2005). </w:t>
      </w:r>
      <w:r>
        <w:rPr>
          <w:rFonts w:ascii="Times New Roman" w:eastAsia="Times New Roman" w:hAnsi="Times New Roman"/>
          <w:i/>
          <w:sz w:val="24"/>
          <w:szCs w:val="24"/>
        </w:rPr>
        <w:t>Investigación Educativa</w:t>
      </w:r>
      <w:r>
        <w:rPr>
          <w:rFonts w:ascii="Times New Roman" w:eastAsia="Times New Roman" w:hAnsi="Times New Roman"/>
          <w:sz w:val="24"/>
          <w:szCs w:val="24"/>
        </w:rPr>
        <w:t xml:space="preserve"> (5a edición). Pearson Educación.</w:t>
      </w:r>
    </w:p>
    <w:p w14:paraId="10E8D872" w14:textId="77777777" w:rsidR="006A5EC7" w:rsidRDefault="00510C7C">
      <w:pPr>
        <w:spacing w:line="240" w:lineRule="auto"/>
        <w:ind w:left="708"/>
        <w:jc w:val="both"/>
        <w:rPr>
          <w:rFonts w:ascii="Times New Roman" w:eastAsia="Times New Roman" w:hAnsi="Times New Roman"/>
          <w:sz w:val="24"/>
          <w:szCs w:val="24"/>
        </w:rPr>
      </w:pPr>
      <w:r>
        <w:rPr>
          <w:rFonts w:ascii="Times New Roman" w:eastAsia="Times New Roman" w:hAnsi="Times New Roman"/>
          <w:sz w:val="24"/>
          <w:szCs w:val="24"/>
        </w:rPr>
        <w:t xml:space="preserve">Morehouse, R. (2012). </w:t>
      </w:r>
      <w:r>
        <w:rPr>
          <w:rFonts w:ascii="Times New Roman" w:eastAsia="Times New Roman" w:hAnsi="Times New Roman"/>
          <w:i/>
          <w:sz w:val="24"/>
          <w:szCs w:val="24"/>
        </w:rPr>
        <w:t>Beginning Interpretative Inquiry: A step-by-step approach to research and evaluation</w:t>
      </w:r>
      <w:r>
        <w:rPr>
          <w:rFonts w:ascii="Times New Roman" w:eastAsia="Times New Roman" w:hAnsi="Times New Roman"/>
          <w:sz w:val="24"/>
          <w:szCs w:val="24"/>
        </w:rPr>
        <w:t>. Taylor &amp; Francis Group.</w:t>
      </w:r>
    </w:p>
    <w:p w14:paraId="4FC45246" w14:textId="77777777" w:rsidR="006A5EC7" w:rsidRDefault="00510C7C">
      <w:pPr>
        <w:spacing w:line="240" w:lineRule="auto"/>
        <w:ind w:left="708"/>
        <w:jc w:val="both"/>
        <w:rPr>
          <w:rFonts w:ascii="Times New Roman" w:eastAsia="Times New Roman" w:hAnsi="Times New Roman"/>
          <w:sz w:val="24"/>
          <w:szCs w:val="24"/>
        </w:rPr>
      </w:pPr>
      <w:r>
        <w:rPr>
          <w:rFonts w:ascii="Times New Roman" w:eastAsia="Times New Roman" w:hAnsi="Times New Roman"/>
          <w:sz w:val="24"/>
          <w:szCs w:val="24"/>
        </w:rPr>
        <w:t xml:space="preserve">Strauss, A., &amp; Corbin, J. (2002). </w:t>
      </w:r>
      <w:r>
        <w:rPr>
          <w:rFonts w:ascii="Times New Roman" w:eastAsia="Times New Roman" w:hAnsi="Times New Roman"/>
          <w:i/>
          <w:sz w:val="24"/>
          <w:szCs w:val="24"/>
        </w:rPr>
        <w:t>Bases de la investigación cualitativa. Técnicas y procedimientos para desarrollar la teoría fundamentada</w:t>
      </w:r>
      <w:r>
        <w:rPr>
          <w:rFonts w:ascii="Times New Roman" w:eastAsia="Times New Roman" w:hAnsi="Times New Roman"/>
          <w:sz w:val="24"/>
          <w:szCs w:val="24"/>
        </w:rPr>
        <w:t>. Universidad de Antioquía.</w:t>
      </w:r>
    </w:p>
    <w:p w14:paraId="39951E7F" w14:textId="77777777" w:rsidR="006A5EC7" w:rsidRDefault="006A5EC7">
      <w:pPr>
        <w:spacing w:line="240" w:lineRule="auto"/>
        <w:ind w:left="708"/>
        <w:jc w:val="both"/>
        <w:rPr>
          <w:rFonts w:ascii="Times New Roman" w:eastAsia="Times New Roman" w:hAnsi="Times New Roman"/>
          <w:sz w:val="24"/>
          <w:szCs w:val="24"/>
        </w:rPr>
      </w:pPr>
    </w:p>
    <w:sectPr w:rsidR="006A5EC7">
      <w:headerReference w:type="default" r:id="rId20"/>
      <w:pgSz w:w="11906" w:h="16838"/>
      <w:pgMar w:top="1418" w:right="1418"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D8F4" w14:textId="77777777" w:rsidR="00510C7C" w:rsidRDefault="00510C7C">
      <w:pPr>
        <w:spacing w:after="0" w:line="240" w:lineRule="auto"/>
      </w:pPr>
      <w:r>
        <w:separator/>
      </w:r>
    </w:p>
  </w:endnote>
  <w:endnote w:type="continuationSeparator" w:id="0">
    <w:p w14:paraId="209317F9" w14:textId="77777777" w:rsidR="00510C7C" w:rsidRDefault="0051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BE77" w14:textId="77777777" w:rsidR="00510C7C" w:rsidRDefault="00510C7C">
      <w:pPr>
        <w:spacing w:after="0" w:line="240" w:lineRule="auto"/>
      </w:pPr>
      <w:r>
        <w:separator/>
      </w:r>
    </w:p>
  </w:footnote>
  <w:footnote w:type="continuationSeparator" w:id="0">
    <w:p w14:paraId="06788147" w14:textId="77777777" w:rsidR="00510C7C" w:rsidRDefault="00510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4E0D" w14:textId="77777777" w:rsidR="006A5EC7" w:rsidRDefault="00510C7C">
    <w:pPr>
      <w:pBdr>
        <w:top w:val="nil"/>
        <w:left w:val="nil"/>
        <w:bottom w:val="nil"/>
        <w:right w:val="nil"/>
        <w:between w:val="nil"/>
      </w:pBdr>
      <w:tabs>
        <w:tab w:val="center" w:pos="4252"/>
        <w:tab w:val="right" w:pos="8504"/>
      </w:tabs>
      <w:spacing w:after="0" w:line="240" w:lineRule="auto"/>
      <w:jc w:val="right"/>
      <w:rPr>
        <w:rFonts w:cs="Calibri"/>
        <w:color w:val="000000"/>
      </w:rPr>
    </w:pPr>
    <w:r>
      <w:rPr>
        <w:rFonts w:cs="Calibri"/>
        <w:noProof/>
        <w:color w:val="000000"/>
      </w:rPr>
      <w:drawing>
        <wp:inline distT="0" distB="0" distL="0" distR="0" wp14:anchorId="1E32C572" wp14:editId="1CCD7491">
          <wp:extent cx="760917" cy="643760"/>
          <wp:effectExtent l="0" t="0" r="0" b="0"/>
          <wp:docPr id="10971705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0917" cy="6437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0420B"/>
    <w:multiLevelType w:val="multilevel"/>
    <w:tmpl w:val="B5006DE8"/>
    <w:lvl w:ilvl="0">
      <w:start w:val="1"/>
      <w:numFmt w:val="bullet"/>
      <w:pStyle w:val="Ttulo1"/>
      <w:lvlText w:val="●"/>
      <w:lvlJc w:val="left"/>
      <w:pPr>
        <w:ind w:left="720" w:hanging="360"/>
      </w:pPr>
      <w:rPr>
        <w:u w:val="none"/>
      </w:rPr>
    </w:lvl>
    <w:lvl w:ilvl="1">
      <w:start w:val="1"/>
      <w:numFmt w:val="bullet"/>
      <w:pStyle w:val="Ttulo2"/>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pStyle w:val="Ttulo4"/>
      <w:lvlText w:val="●"/>
      <w:lvlJc w:val="left"/>
      <w:pPr>
        <w:ind w:left="2880" w:hanging="360"/>
      </w:pPr>
      <w:rPr>
        <w:u w:val="none"/>
      </w:rPr>
    </w:lvl>
    <w:lvl w:ilvl="4">
      <w:start w:val="1"/>
      <w:numFmt w:val="bullet"/>
      <w:pStyle w:val="Ttulo5"/>
      <w:lvlText w:val="○"/>
      <w:lvlJc w:val="left"/>
      <w:pPr>
        <w:ind w:left="3600" w:hanging="360"/>
      </w:pPr>
      <w:rPr>
        <w:u w:val="none"/>
      </w:rPr>
    </w:lvl>
    <w:lvl w:ilvl="5">
      <w:start w:val="1"/>
      <w:numFmt w:val="bullet"/>
      <w:pStyle w:val="Ttulo6"/>
      <w:lvlText w:val="■"/>
      <w:lvlJc w:val="left"/>
      <w:pPr>
        <w:ind w:left="4320" w:hanging="360"/>
      </w:pPr>
      <w:rPr>
        <w:u w:val="none"/>
      </w:rPr>
    </w:lvl>
    <w:lvl w:ilvl="6">
      <w:start w:val="1"/>
      <w:numFmt w:val="bullet"/>
      <w:pStyle w:val="Ttulo7"/>
      <w:lvlText w:val="●"/>
      <w:lvlJc w:val="left"/>
      <w:pPr>
        <w:ind w:left="5040" w:hanging="360"/>
      </w:pPr>
      <w:rPr>
        <w:u w:val="none"/>
      </w:rPr>
    </w:lvl>
    <w:lvl w:ilvl="7">
      <w:start w:val="1"/>
      <w:numFmt w:val="bullet"/>
      <w:pStyle w:val="Ttulo8"/>
      <w:lvlText w:val="○"/>
      <w:lvlJc w:val="left"/>
      <w:pPr>
        <w:ind w:left="5760" w:hanging="360"/>
      </w:pPr>
      <w:rPr>
        <w:u w:val="none"/>
      </w:rPr>
    </w:lvl>
    <w:lvl w:ilvl="8">
      <w:start w:val="1"/>
      <w:numFmt w:val="bullet"/>
      <w:pStyle w:val="Ttulo9"/>
      <w:lvlText w:val="■"/>
      <w:lvlJc w:val="left"/>
      <w:pPr>
        <w:ind w:left="6480" w:hanging="360"/>
      </w:pPr>
      <w:rPr>
        <w:u w:val="none"/>
      </w:rPr>
    </w:lvl>
  </w:abstractNum>
  <w:abstractNum w:abstractNumId="1" w15:restartNumberingAfterBreak="0">
    <w:nsid w:val="6F206398"/>
    <w:multiLevelType w:val="multilevel"/>
    <w:tmpl w:val="00504C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7B1FEB"/>
    <w:multiLevelType w:val="multilevel"/>
    <w:tmpl w:val="6A888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C7"/>
    <w:rsid w:val="00510C7C"/>
    <w:rsid w:val="006A5EC7"/>
    <w:rsid w:val="00EF77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B5F7"/>
  <w15:docId w15:val="{BD2A37E2-2940-4675-88CC-35599782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
    <w:semiHidden/>
    <w:unhideWhenUsed/>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
    <w:semiHidden/>
    <w:unhideWhenUsed/>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
    <w:semiHidden/>
    <w:unhideWhenUsed/>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
    <w:semiHidden/>
    <w:unhideWhenUsed/>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
    <w:semiHidden/>
    <w:unhideWhenUsed/>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IATED-Title"/>
    <w:basedOn w:val="Normal"/>
    <w:link w:val="TtuloCar"/>
    <w:uiPriority w:val="10"/>
    <w:qFormat/>
    <w:rsid w:val="00A86C41"/>
    <w:pPr>
      <w:spacing w:before="240" w:after="120" w:line="240" w:lineRule="auto"/>
      <w:jc w:val="center"/>
    </w:pPr>
    <w:rPr>
      <w:rFonts w:ascii="Arial" w:hAnsi="Arial"/>
      <w:b/>
      <w:bCs/>
      <w:sz w:val="24"/>
      <w:szCs w:val="24"/>
      <w:lang w:eastAsia="es-ES"/>
    </w:rPr>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ducsci14121403" TargetMode="External"/><Relationship Id="rId13" Type="http://schemas.openxmlformats.org/officeDocument/2006/relationships/hyperlink" Target="http://www.wallacefoundation.org/principalsynthesis" TargetMode="External"/><Relationship Id="rId18" Type="http://schemas.openxmlformats.org/officeDocument/2006/relationships/hyperlink" Target="https://doi.org/10.1080/13632434.2019.159607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allacefoundation.org/principalsynthesis" TargetMode="External"/><Relationship Id="rId17" Type="http://schemas.openxmlformats.org/officeDocument/2006/relationships/hyperlink" Target="https://doi.org/10.1080/13632434.2019.1596077" TargetMode="External"/><Relationship Id="rId2" Type="http://schemas.openxmlformats.org/officeDocument/2006/relationships/numbering" Target="numbering.xml"/><Relationship Id="rId16" Type="http://schemas.openxmlformats.org/officeDocument/2006/relationships/hyperlink" Target="https://doi.org/10.1016/j.tate.2023.1042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32434.2023.2246856" TargetMode="External"/><Relationship Id="rId5" Type="http://schemas.openxmlformats.org/officeDocument/2006/relationships/webSettings" Target="webSettings.xml"/><Relationship Id="rId15" Type="http://schemas.openxmlformats.org/officeDocument/2006/relationships/hyperlink" Target="https://doi.org/10.3390/educsci14111166" TargetMode="External"/><Relationship Id="rId10" Type="http://schemas.openxmlformats.org/officeDocument/2006/relationships/hyperlink" Target="https://doi.org/10.1080/13632434.2023.2246856" TargetMode="External"/><Relationship Id="rId19" Type="http://schemas.openxmlformats.org/officeDocument/2006/relationships/hyperlink" Target="https://doi.org/10.1016/j.ijme.2023.100790" TargetMode="External"/><Relationship Id="rId4" Type="http://schemas.openxmlformats.org/officeDocument/2006/relationships/settings" Target="settings.xml"/><Relationship Id="rId9" Type="http://schemas.openxmlformats.org/officeDocument/2006/relationships/hyperlink" Target="https://doi.org/10.3390/educsci14121403" TargetMode="External"/><Relationship Id="rId14" Type="http://schemas.openxmlformats.org/officeDocument/2006/relationships/hyperlink" Target="https://doi.org/10.3390/educsci1411116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7pTQfXhirT+Q06dY5Ug4qB/pzw==">CgMxLjAyDmgudXZkbmRtNDNrYTEwMghoLmdqZGd4czgAaikKFHN1Z2dlc3QubDBqcGdqdWd5ODgxEhFQZWRybyBMZcOzbiBWaXZhc2opChRzdWdnZXN0LjJoc3h4N3o0cTZpahIRUGVkcm8gTGXDs24gVml2YXNqKQoUc3VnZ2VzdC5henBsaXFzc2YxbTcSEVBlZHJvIExlw7NuIFZpdmFzaikKFHN1Z2dlc3QuZmpzbmg0bXZtYmhlEhFQZWRybyBMZcOzbiBWaXZhc2opChRzdWdnZXN0LmQ5amd6ZXRycTR5YRIRUGVkcm8gTGXDs24gVml2YXNyITFidG56di1ST2VOMy0tZ01tV1hEUW04RXFJaHlWVElN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2570</Words>
  <Characters>14140</Characters>
  <Application>Microsoft Office Word</Application>
  <DocSecurity>0</DocSecurity>
  <Lines>117</Lines>
  <Paragraphs>33</Paragraphs>
  <ScaleCrop>false</ScaleCrop>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Armando Rojas</cp:lastModifiedBy>
  <cp:revision>3</cp:revision>
  <dcterms:created xsi:type="dcterms:W3CDTF">2025-02-16T00:28:00Z</dcterms:created>
  <dcterms:modified xsi:type="dcterms:W3CDTF">2025-02-16T00:28:00Z</dcterms:modified>
</cp:coreProperties>
</file>