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976D" w14:textId="77777777" w:rsidR="00C224C3" w:rsidRDefault="00C224C3" w:rsidP="00C224C3">
      <w:pPr>
        <w:pStyle w:val="Ttul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6233FF32" w14:textId="77777777" w:rsidR="00954D5C" w:rsidRDefault="00954D5C" w:rsidP="00C224C3">
      <w:pPr>
        <w:pStyle w:val="Ttulo"/>
        <w:rPr>
          <w:color w:val="76923C" w:themeColor="accent3" w:themeShade="BF"/>
        </w:rPr>
      </w:pPr>
      <w:r w:rsidRPr="00954D5C">
        <w:rPr>
          <w:color w:val="76923C" w:themeColor="accent3" w:themeShade="BF"/>
        </w:rPr>
        <w:t>EXPERIENCIAS Y BUENAS PRÁCTICAS</w:t>
      </w:r>
    </w:p>
    <w:p w14:paraId="7FD20FC1" w14:textId="77777777" w:rsidR="002B7CA3" w:rsidRPr="002B7CA3" w:rsidRDefault="002B7CA3" w:rsidP="00C224C3">
      <w:pPr>
        <w:pStyle w:val="Ttulo"/>
        <w:rPr>
          <w:sz w:val="2"/>
        </w:rPr>
      </w:pPr>
    </w:p>
    <w:p w14:paraId="38B36336"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09AF149F" w14:textId="77777777" w:rsidTr="002773E8">
        <w:trPr>
          <w:trHeight w:val="451"/>
        </w:trPr>
        <w:tc>
          <w:tcPr>
            <w:tcW w:w="709" w:type="dxa"/>
          </w:tcPr>
          <w:p w14:paraId="54F1F172" w14:textId="6234AAE3" w:rsidR="00A86C41" w:rsidRPr="00E84C03" w:rsidRDefault="00290B26" w:rsidP="004101C6">
            <w:pPr>
              <w:pStyle w:val="Ttulo"/>
              <w:rPr>
                <w:sz w:val="16"/>
                <w:szCs w:val="16"/>
              </w:rPr>
            </w:pPr>
            <w:r>
              <w:rPr>
                <w:sz w:val="16"/>
                <w:szCs w:val="16"/>
              </w:rPr>
              <w:t>X</w:t>
            </w:r>
          </w:p>
        </w:tc>
        <w:tc>
          <w:tcPr>
            <w:tcW w:w="6804" w:type="dxa"/>
            <w:vAlign w:val="center"/>
          </w:tcPr>
          <w:p w14:paraId="60C892A8" w14:textId="77777777" w:rsidR="00A86C41" w:rsidRPr="00E84C03" w:rsidRDefault="00E03395" w:rsidP="00491C0D">
            <w:pPr>
              <w:pStyle w:val="Ttulo"/>
              <w:jc w:val="left"/>
              <w:rPr>
                <w:sz w:val="16"/>
                <w:szCs w:val="16"/>
              </w:rPr>
            </w:pPr>
            <w:r>
              <w:rPr>
                <w:sz w:val="16"/>
                <w:szCs w:val="16"/>
              </w:rPr>
              <w:t>Comunicación</w:t>
            </w:r>
            <w:r w:rsidR="008A2D95">
              <w:rPr>
                <w:sz w:val="16"/>
                <w:szCs w:val="16"/>
              </w:rPr>
              <w:t xml:space="preserve"> – Experiencias y Buenas prácticas</w:t>
            </w:r>
          </w:p>
        </w:tc>
      </w:tr>
      <w:tr w:rsidR="00A86C41" w:rsidRPr="00E84C03" w14:paraId="4C7B7218" w14:textId="77777777" w:rsidTr="002773E8">
        <w:trPr>
          <w:trHeight w:val="451"/>
        </w:trPr>
        <w:tc>
          <w:tcPr>
            <w:tcW w:w="709" w:type="dxa"/>
          </w:tcPr>
          <w:p w14:paraId="1CB6C638" w14:textId="77777777" w:rsidR="00A86C41" w:rsidRPr="00E84C03" w:rsidRDefault="00A86C41" w:rsidP="004101C6">
            <w:pPr>
              <w:pStyle w:val="Ttulo"/>
              <w:rPr>
                <w:sz w:val="16"/>
                <w:szCs w:val="16"/>
              </w:rPr>
            </w:pPr>
          </w:p>
        </w:tc>
        <w:tc>
          <w:tcPr>
            <w:tcW w:w="6804" w:type="dxa"/>
            <w:vAlign w:val="center"/>
          </w:tcPr>
          <w:p w14:paraId="2ADF1D80" w14:textId="77777777" w:rsidR="00A86C41" w:rsidRPr="00E84C03" w:rsidRDefault="00E03395" w:rsidP="00491C0D">
            <w:pPr>
              <w:pStyle w:val="Ttulo"/>
              <w:jc w:val="left"/>
              <w:rPr>
                <w:sz w:val="16"/>
                <w:szCs w:val="16"/>
              </w:rPr>
            </w:pPr>
            <w:r>
              <w:rPr>
                <w:sz w:val="16"/>
                <w:szCs w:val="16"/>
              </w:rPr>
              <w:t>Póster</w:t>
            </w:r>
            <w:r w:rsidR="008A2D95">
              <w:rPr>
                <w:sz w:val="16"/>
                <w:szCs w:val="16"/>
              </w:rPr>
              <w:t xml:space="preserve"> – Experiencias y Buenas prácticas</w:t>
            </w:r>
          </w:p>
        </w:tc>
      </w:tr>
    </w:tbl>
    <w:p w14:paraId="36D4DE35"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E6033" w:rsidRPr="0071605E" w14:paraId="7B1126DA" w14:textId="77777777" w:rsidTr="00AE6033">
        <w:trPr>
          <w:trHeight w:val="451"/>
        </w:trPr>
        <w:tc>
          <w:tcPr>
            <w:tcW w:w="709" w:type="dxa"/>
          </w:tcPr>
          <w:p w14:paraId="1F5D68C7" w14:textId="198CA95F" w:rsidR="00AE6033" w:rsidRPr="00E84C03" w:rsidRDefault="00290B26" w:rsidP="00AE6033">
            <w:pPr>
              <w:pStyle w:val="Ttulo"/>
              <w:rPr>
                <w:sz w:val="16"/>
                <w:szCs w:val="16"/>
              </w:rPr>
            </w:pPr>
            <w:r>
              <w:rPr>
                <w:sz w:val="16"/>
                <w:szCs w:val="16"/>
              </w:rPr>
              <w:t>X</w:t>
            </w:r>
          </w:p>
        </w:tc>
        <w:tc>
          <w:tcPr>
            <w:tcW w:w="6804" w:type="dxa"/>
          </w:tcPr>
          <w:p w14:paraId="7F1F5C86" w14:textId="1EBA7E1F" w:rsidR="00AE6033" w:rsidRPr="00ED7394" w:rsidRDefault="00AE6033" w:rsidP="00AE6033">
            <w:pPr>
              <w:pStyle w:val="Ttulo"/>
              <w:jc w:val="left"/>
              <w:rPr>
                <w:sz w:val="16"/>
                <w:szCs w:val="16"/>
              </w:rPr>
            </w:pPr>
            <w:r w:rsidRPr="00B015E1">
              <w:rPr>
                <w:sz w:val="16"/>
                <w:szCs w:val="16"/>
              </w:rPr>
              <w:t>Metodologías y estrategias para la nueva gestión del conocimiento colectivo y la promoción de la cultura de aprendizaje.</w:t>
            </w:r>
          </w:p>
        </w:tc>
      </w:tr>
      <w:tr w:rsidR="00AE6033" w:rsidRPr="0071605E" w14:paraId="17E7257B" w14:textId="77777777" w:rsidTr="00AE6033">
        <w:trPr>
          <w:trHeight w:val="451"/>
        </w:trPr>
        <w:tc>
          <w:tcPr>
            <w:tcW w:w="709" w:type="dxa"/>
          </w:tcPr>
          <w:p w14:paraId="5C0C6A8F" w14:textId="77777777" w:rsidR="00AE6033" w:rsidRPr="00E84C03" w:rsidRDefault="00AE6033" w:rsidP="00AE6033">
            <w:pPr>
              <w:pStyle w:val="Ttulo"/>
              <w:rPr>
                <w:sz w:val="16"/>
                <w:szCs w:val="16"/>
              </w:rPr>
            </w:pPr>
          </w:p>
        </w:tc>
        <w:tc>
          <w:tcPr>
            <w:tcW w:w="6804" w:type="dxa"/>
          </w:tcPr>
          <w:p w14:paraId="7BE3D6C1" w14:textId="73852088" w:rsidR="00AE6033" w:rsidRPr="00ED7394" w:rsidRDefault="00AE6033" w:rsidP="00AE6033">
            <w:pPr>
              <w:pStyle w:val="Ttulo"/>
              <w:jc w:val="left"/>
              <w:rPr>
                <w:sz w:val="16"/>
                <w:szCs w:val="16"/>
              </w:rPr>
            </w:pPr>
            <w:r w:rsidRPr="00B015E1">
              <w:rPr>
                <w:sz w:val="16"/>
                <w:szCs w:val="16"/>
              </w:rPr>
              <w:t>El nuevo sentido del aprendizaje y de la formación en las organizaciones</w:t>
            </w:r>
          </w:p>
        </w:tc>
      </w:tr>
      <w:tr w:rsidR="00AE6033" w:rsidRPr="00ED7394" w14:paraId="2EEC5854" w14:textId="77777777" w:rsidTr="00AE6033">
        <w:trPr>
          <w:trHeight w:val="451"/>
        </w:trPr>
        <w:tc>
          <w:tcPr>
            <w:tcW w:w="709" w:type="dxa"/>
          </w:tcPr>
          <w:p w14:paraId="1995AC57" w14:textId="77777777" w:rsidR="00AE6033" w:rsidRPr="00E84C03" w:rsidRDefault="00AE6033" w:rsidP="00AE6033">
            <w:pPr>
              <w:pStyle w:val="Ttulo"/>
              <w:rPr>
                <w:sz w:val="16"/>
                <w:szCs w:val="16"/>
              </w:rPr>
            </w:pPr>
          </w:p>
        </w:tc>
        <w:tc>
          <w:tcPr>
            <w:tcW w:w="6804" w:type="dxa"/>
          </w:tcPr>
          <w:p w14:paraId="59256130" w14:textId="553E073A" w:rsidR="00AE6033" w:rsidRPr="00ED7394" w:rsidRDefault="00AE6033" w:rsidP="00AE6033">
            <w:pPr>
              <w:pStyle w:val="Ttulo"/>
              <w:jc w:val="left"/>
              <w:rPr>
                <w:sz w:val="16"/>
                <w:szCs w:val="16"/>
              </w:rPr>
            </w:pPr>
            <w:r w:rsidRPr="00B015E1">
              <w:rPr>
                <w:sz w:val="16"/>
                <w:szCs w:val="16"/>
              </w:rPr>
              <w:t>Gestión del talento y de la inteligencia colectiva en las organizaciones.</w:t>
            </w:r>
          </w:p>
        </w:tc>
      </w:tr>
      <w:tr w:rsidR="00AE6033" w:rsidRPr="00E84C03" w14:paraId="59FD1E86" w14:textId="77777777" w:rsidTr="00AE6033">
        <w:trPr>
          <w:trHeight w:val="451"/>
        </w:trPr>
        <w:tc>
          <w:tcPr>
            <w:tcW w:w="709" w:type="dxa"/>
          </w:tcPr>
          <w:p w14:paraId="3C056788" w14:textId="77777777" w:rsidR="00AE6033" w:rsidRPr="00ED7394" w:rsidRDefault="00AE6033" w:rsidP="00AE6033">
            <w:pPr>
              <w:pStyle w:val="Ttulo"/>
              <w:rPr>
                <w:sz w:val="16"/>
                <w:szCs w:val="16"/>
              </w:rPr>
            </w:pPr>
          </w:p>
        </w:tc>
        <w:tc>
          <w:tcPr>
            <w:tcW w:w="6804" w:type="dxa"/>
          </w:tcPr>
          <w:p w14:paraId="6073636A" w14:textId="47A825CB" w:rsidR="00AE6033" w:rsidRPr="00ED7394" w:rsidRDefault="00AE6033" w:rsidP="00AE6033">
            <w:pPr>
              <w:pStyle w:val="Ttulo"/>
              <w:jc w:val="left"/>
              <w:rPr>
                <w:sz w:val="16"/>
                <w:szCs w:val="16"/>
              </w:rPr>
            </w:pPr>
            <w:r w:rsidRPr="00B015E1">
              <w:rPr>
                <w:sz w:val="16"/>
                <w:szCs w:val="16"/>
              </w:rPr>
              <w:t>Redes corporativas para la promoción de la cultura de aprendizaje e inteligencia colectiva en las organizaciones.</w:t>
            </w:r>
          </w:p>
        </w:tc>
      </w:tr>
      <w:tr w:rsidR="00AE6033" w:rsidRPr="00ED7394" w14:paraId="53758547" w14:textId="77777777" w:rsidTr="00AE6033">
        <w:trPr>
          <w:trHeight w:val="451"/>
        </w:trPr>
        <w:tc>
          <w:tcPr>
            <w:tcW w:w="709" w:type="dxa"/>
          </w:tcPr>
          <w:p w14:paraId="5E88EB25" w14:textId="77777777" w:rsidR="00AE6033" w:rsidRPr="00ED7394" w:rsidRDefault="00AE6033" w:rsidP="00AE6033">
            <w:pPr>
              <w:pStyle w:val="Ttulo"/>
              <w:rPr>
                <w:sz w:val="16"/>
                <w:szCs w:val="16"/>
              </w:rPr>
            </w:pPr>
          </w:p>
        </w:tc>
        <w:tc>
          <w:tcPr>
            <w:tcW w:w="6804" w:type="dxa"/>
          </w:tcPr>
          <w:p w14:paraId="7FBAB3A8" w14:textId="18BEC1E7" w:rsidR="00AE6033" w:rsidRPr="00ED7394" w:rsidRDefault="00AE6033" w:rsidP="00AE6033">
            <w:pPr>
              <w:pStyle w:val="Ttulo"/>
              <w:jc w:val="left"/>
              <w:rPr>
                <w:sz w:val="16"/>
                <w:szCs w:val="16"/>
              </w:rPr>
            </w:pPr>
            <w:r w:rsidRPr="00B015E1">
              <w:rPr>
                <w:sz w:val="16"/>
                <w:szCs w:val="16"/>
              </w:rPr>
              <w:t>Aprendizaje social y colaborativo en la gestión del conocimiento colectivo.</w:t>
            </w:r>
          </w:p>
        </w:tc>
      </w:tr>
      <w:tr w:rsidR="00AE6033" w:rsidRPr="00ED7394" w14:paraId="7E234DE0" w14:textId="77777777" w:rsidTr="00AE6033">
        <w:trPr>
          <w:trHeight w:val="451"/>
        </w:trPr>
        <w:tc>
          <w:tcPr>
            <w:tcW w:w="709" w:type="dxa"/>
          </w:tcPr>
          <w:p w14:paraId="5E86E76F" w14:textId="77777777" w:rsidR="00AE6033" w:rsidRPr="00ED7394" w:rsidRDefault="00AE6033" w:rsidP="00AE6033">
            <w:pPr>
              <w:pStyle w:val="Ttulo"/>
              <w:rPr>
                <w:sz w:val="16"/>
                <w:szCs w:val="16"/>
              </w:rPr>
            </w:pPr>
          </w:p>
        </w:tc>
        <w:tc>
          <w:tcPr>
            <w:tcW w:w="6804" w:type="dxa"/>
          </w:tcPr>
          <w:p w14:paraId="4E8AFD1D" w14:textId="692176A2" w:rsidR="00AE6033" w:rsidRPr="00ED7394" w:rsidRDefault="00AE6033" w:rsidP="00AE6033">
            <w:pPr>
              <w:pStyle w:val="Ttulo"/>
              <w:jc w:val="left"/>
              <w:rPr>
                <w:sz w:val="16"/>
                <w:szCs w:val="16"/>
              </w:rPr>
            </w:pPr>
            <w:r w:rsidRPr="00B015E1">
              <w:rPr>
                <w:sz w:val="16"/>
                <w:szCs w:val="16"/>
              </w:rPr>
              <w:t>Gestión del aprendizaje formal e informal en las organizaciones.</w:t>
            </w:r>
          </w:p>
        </w:tc>
      </w:tr>
      <w:tr w:rsidR="00AE6033" w:rsidRPr="00E84C03" w14:paraId="103F9AE3" w14:textId="77777777" w:rsidTr="00AE6033">
        <w:trPr>
          <w:trHeight w:val="451"/>
        </w:trPr>
        <w:tc>
          <w:tcPr>
            <w:tcW w:w="709" w:type="dxa"/>
          </w:tcPr>
          <w:p w14:paraId="2B6F87E2" w14:textId="77777777" w:rsidR="00AE6033" w:rsidRPr="00F303E1" w:rsidRDefault="00AE6033" w:rsidP="00AE6033">
            <w:pPr>
              <w:pStyle w:val="Ttulo"/>
              <w:rPr>
                <w:sz w:val="16"/>
                <w:szCs w:val="16"/>
              </w:rPr>
            </w:pPr>
          </w:p>
        </w:tc>
        <w:tc>
          <w:tcPr>
            <w:tcW w:w="6804" w:type="dxa"/>
          </w:tcPr>
          <w:p w14:paraId="095F5BA9" w14:textId="43D11C23" w:rsidR="00AE6033" w:rsidRPr="00ED7394" w:rsidRDefault="00AE6033" w:rsidP="00AE6033">
            <w:pPr>
              <w:pStyle w:val="Ttulo"/>
              <w:jc w:val="left"/>
              <w:rPr>
                <w:sz w:val="16"/>
                <w:szCs w:val="16"/>
              </w:rPr>
            </w:pPr>
            <w:r w:rsidRPr="00B015E1">
              <w:rPr>
                <w:sz w:val="16"/>
                <w:szCs w:val="16"/>
              </w:rPr>
              <w:t>El rol de los directivos en los nuevos escenarios</w:t>
            </w:r>
          </w:p>
        </w:tc>
      </w:tr>
    </w:tbl>
    <w:p w14:paraId="7325B33B" w14:textId="77777777" w:rsidR="00EE2AD6" w:rsidRDefault="00EE2AD6" w:rsidP="00FA3299">
      <w:pPr>
        <w:pBdr>
          <w:bottom w:val="single" w:sz="6" w:space="1" w:color="auto"/>
        </w:pBdr>
        <w:spacing w:line="240" w:lineRule="auto"/>
        <w:rPr>
          <w:rFonts w:ascii="Times New Roman" w:hAnsi="Times New Roman"/>
          <w:b/>
        </w:rPr>
      </w:pPr>
    </w:p>
    <w:p w14:paraId="0859C431" w14:textId="1AD3FC23" w:rsidR="002B7CA3" w:rsidRPr="002B7CA3" w:rsidRDefault="002B7CA3" w:rsidP="00FA3299">
      <w:pPr>
        <w:pBdr>
          <w:bottom w:val="single" w:sz="6" w:space="1" w:color="auto"/>
        </w:pBdr>
        <w:spacing w:line="240" w:lineRule="auto"/>
        <w:rPr>
          <w:rFonts w:ascii="Times New Roman" w:hAnsi="Times New Roman"/>
          <w:color w:val="FF0000"/>
        </w:rPr>
      </w:pPr>
      <w:bookmarkStart w:id="0" w:name="_Hlk14767735"/>
      <w:r w:rsidRPr="002B7CA3">
        <w:rPr>
          <w:rFonts w:ascii="Times New Roman" w:hAnsi="Times New Roman"/>
          <w:color w:val="FF0000"/>
        </w:rPr>
        <w:t xml:space="preserve">Los apartados propuestos son orientativos y pueden ser ligeramente modificados. La extensión </w:t>
      </w:r>
      <w:r w:rsidR="000B7D43">
        <w:rPr>
          <w:rFonts w:ascii="Times New Roman" w:hAnsi="Times New Roman"/>
          <w:color w:val="FF0000"/>
        </w:rPr>
        <w:t>(entre 10.000 y 15.000 caracteres con espacios, referencias inclu</w:t>
      </w:r>
      <w:r w:rsidR="00825F79">
        <w:rPr>
          <w:rFonts w:ascii="Times New Roman" w:hAnsi="Times New Roman"/>
          <w:color w:val="FF0000"/>
        </w:rPr>
        <w:t>i</w:t>
      </w:r>
      <w:r w:rsidR="000B7D43">
        <w:rPr>
          <w:rFonts w:ascii="Times New Roman" w:hAnsi="Times New Roman"/>
          <w:color w:val="FF0000"/>
        </w:rPr>
        <w:t xml:space="preserve">das) </w:t>
      </w:r>
      <w:r w:rsidRPr="002B7CA3">
        <w:rPr>
          <w:rFonts w:ascii="Times New Roman" w:hAnsi="Times New Roman"/>
          <w:color w:val="FF0000"/>
        </w:rPr>
        <w:t xml:space="preserve">y el resto de formato debe ser respetado, en </w:t>
      </w:r>
      <w:r>
        <w:rPr>
          <w:rFonts w:ascii="Times New Roman" w:hAnsi="Times New Roman"/>
          <w:color w:val="FF0000"/>
        </w:rPr>
        <w:t>cualquier</w:t>
      </w:r>
      <w:r w:rsidRPr="002B7CA3">
        <w:rPr>
          <w:rFonts w:ascii="Times New Roman" w:hAnsi="Times New Roman"/>
          <w:color w:val="FF0000"/>
        </w:rPr>
        <w:t xml:space="preserve"> caso.  </w:t>
      </w:r>
    </w:p>
    <w:bookmarkEnd w:id="0"/>
    <w:p w14:paraId="76C832B0" w14:textId="77777777" w:rsidR="002B7CA3" w:rsidRDefault="002B7CA3" w:rsidP="00FA3299">
      <w:pPr>
        <w:pBdr>
          <w:bottom w:val="single" w:sz="6" w:space="1" w:color="auto"/>
        </w:pBdr>
        <w:spacing w:line="240" w:lineRule="auto"/>
        <w:rPr>
          <w:rFonts w:ascii="Times New Roman" w:hAnsi="Times New Roman"/>
          <w:b/>
        </w:rPr>
      </w:pPr>
    </w:p>
    <w:p w14:paraId="2FAA1C27" w14:textId="77777777" w:rsidR="00461D12" w:rsidRDefault="00461D12" w:rsidP="00FA3299">
      <w:pPr>
        <w:jc w:val="center"/>
        <w:rPr>
          <w:rFonts w:ascii="Times New Roman" w:hAnsi="Times New Roman"/>
          <w:b/>
          <w:sz w:val="32"/>
          <w:szCs w:val="32"/>
        </w:rPr>
      </w:pPr>
    </w:p>
    <w:p w14:paraId="1A977168" w14:textId="77777777" w:rsidR="00461D12" w:rsidRDefault="00461D12" w:rsidP="00FA3299">
      <w:pPr>
        <w:jc w:val="center"/>
        <w:rPr>
          <w:rFonts w:ascii="Times New Roman" w:hAnsi="Times New Roman"/>
          <w:b/>
          <w:sz w:val="32"/>
          <w:szCs w:val="32"/>
        </w:rPr>
      </w:pPr>
    </w:p>
    <w:p w14:paraId="27AA1B14" w14:textId="77777777" w:rsidR="00461D12" w:rsidRDefault="00461D12" w:rsidP="00FA3299">
      <w:pPr>
        <w:jc w:val="center"/>
        <w:rPr>
          <w:rFonts w:ascii="Times New Roman" w:hAnsi="Times New Roman"/>
          <w:b/>
          <w:sz w:val="32"/>
          <w:szCs w:val="32"/>
        </w:rPr>
      </w:pPr>
    </w:p>
    <w:p w14:paraId="271A016B" w14:textId="77777777" w:rsidR="00461D12" w:rsidRDefault="00461D12" w:rsidP="00FA3299">
      <w:pPr>
        <w:jc w:val="center"/>
        <w:rPr>
          <w:rFonts w:ascii="Times New Roman" w:hAnsi="Times New Roman"/>
          <w:b/>
          <w:sz w:val="32"/>
          <w:szCs w:val="32"/>
        </w:rPr>
      </w:pPr>
    </w:p>
    <w:p w14:paraId="5EB3F054" w14:textId="77777777" w:rsidR="00461D12" w:rsidRDefault="00461D12" w:rsidP="00FA3299">
      <w:pPr>
        <w:jc w:val="center"/>
        <w:rPr>
          <w:rFonts w:ascii="Times New Roman" w:hAnsi="Times New Roman"/>
          <w:b/>
          <w:sz w:val="32"/>
          <w:szCs w:val="32"/>
        </w:rPr>
      </w:pPr>
    </w:p>
    <w:p w14:paraId="0015F637" w14:textId="77777777" w:rsidR="00461D12" w:rsidRDefault="00461D12" w:rsidP="00FA3299">
      <w:pPr>
        <w:jc w:val="center"/>
        <w:rPr>
          <w:rFonts w:ascii="Times New Roman" w:hAnsi="Times New Roman"/>
          <w:b/>
          <w:sz w:val="32"/>
          <w:szCs w:val="32"/>
        </w:rPr>
      </w:pPr>
    </w:p>
    <w:p w14:paraId="794D6E30" w14:textId="3817B20A" w:rsidR="00FA3299" w:rsidRPr="00423E1C" w:rsidRDefault="00290B26" w:rsidP="00FA3299">
      <w:pPr>
        <w:jc w:val="center"/>
        <w:rPr>
          <w:rFonts w:ascii="Times New Roman" w:hAnsi="Times New Roman"/>
          <w:b/>
          <w:sz w:val="32"/>
          <w:szCs w:val="32"/>
        </w:rPr>
      </w:pPr>
      <w:r w:rsidRPr="00290B26">
        <w:rPr>
          <w:rFonts w:ascii="Times New Roman" w:hAnsi="Times New Roman"/>
          <w:b/>
          <w:sz w:val="32"/>
          <w:szCs w:val="32"/>
        </w:rPr>
        <w:lastRenderedPageBreak/>
        <w:t>LABORATORIO SOCIAL DE ESTUDIOS ÉTNICOS Y AMBIENTALES DEL CHOCÓ. UNA PROPUESTA PARA LA GESTIÓN DEL CONOCIMIENTO EN EL PACÍFICO COLOMBIANO</w:t>
      </w:r>
    </w:p>
    <w:p w14:paraId="2A892924" w14:textId="6852A492" w:rsidR="00FA3299" w:rsidRDefault="00290B26" w:rsidP="00FA3299">
      <w:pPr>
        <w:spacing w:line="240" w:lineRule="auto"/>
        <w:jc w:val="right"/>
        <w:rPr>
          <w:rFonts w:ascii="Times New Roman" w:hAnsi="Times New Roman"/>
          <w:b/>
          <w:sz w:val="24"/>
          <w:szCs w:val="24"/>
        </w:rPr>
      </w:pPr>
      <w:proofErr w:type="spellStart"/>
      <w:r>
        <w:rPr>
          <w:rFonts w:ascii="Times New Roman" w:hAnsi="Times New Roman"/>
          <w:b/>
          <w:sz w:val="24"/>
          <w:szCs w:val="24"/>
        </w:rPr>
        <w:t>Herwin</w:t>
      </w:r>
      <w:proofErr w:type="spellEnd"/>
      <w:r w:rsidR="00FA3299">
        <w:rPr>
          <w:rFonts w:ascii="Times New Roman" w:hAnsi="Times New Roman"/>
          <w:b/>
          <w:sz w:val="24"/>
          <w:szCs w:val="24"/>
        </w:rPr>
        <w:t xml:space="preserve"> </w:t>
      </w:r>
      <w:r>
        <w:rPr>
          <w:rFonts w:ascii="Times New Roman" w:hAnsi="Times New Roman"/>
          <w:b/>
          <w:sz w:val="24"/>
          <w:szCs w:val="24"/>
        </w:rPr>
        <w:t>Eduardo</w:t>
      </w:r>
      <w:r w:rsidR="00FA3299">
        <w:rPr>
          <w:rFonts w:ascii="Times New Roman" w:hAnsi="Times New Roman"/>
          <w:b/>
          <w:sz w:val="24"/>
          <w:szCs w:val="24"/>
        </w:rPr>
        <w:t xml:space="preserve"> </w:t>
      </w:r>
      <w:r>
        <w:rPr>
          <w:rFonts w:ascii="Times New Roman" w:hAnsi="Times New Roman"/>
          <w:b/>
          <w:sz w:val="24"/>
          <w:szCs w:val="24"/>
        </w:rPr>
        <w:t xml:space="preserve">Cardona </w:t>
      </w:r>
      <w:proofErr w:type="spellStart"/>
      <w:r>
        <w:rPr>
          <w:rFonts w:ascii="Times New Roman" w:hAnsi="Times New Roman"/>
          <w:b/>
          <w:sz w:val="24"/>
          <w:szCs w:val="24"/>
        </w:rPr>
        <w:t>Quitián</w:t>
      </w:r>
      <w:proofErr w:type="spellEnd"/>
    </w:p>
    <w:p w14:paraId="6AFC0DBC" w14:textId="6F664BAB" w:rsidR="00FA3299" w:rsidRDefault="00290B26" w:rsidP="00FA3299">
      <w:pPr>
        <w:spacing w:line="240" w:lineRule="auto"/>
        <w:jc w:val="right"/>
        <w:rPr>
          <w:rFonts w:ascii="Times New Roman" w:hAnsi="Times New Roman"/>
          <w:sz w:val="24"/>
          <w:szCs w:val="24"/>
        </w:rPr>
      </w:pPr>
      <w:r>
        <w:rPr>
          <w:rFonts w:ascii="Times New Roman" w:hAnsi="Times New Roman"/>
          <w:sz w:val="24"/>
          <w:szCs w:val="24"/>
        </w:rPr>
        <w:t>Escuela Superior de Administración Pública ESAP, Colombia</w:t>
      </w:r>
    </w:p>
    <w:p w14:paraId="4271CE77" w14:textId="3FE43769" w:rsidR="00461D12" w:rsidRDefault="00461D12" w:rsidP="00FA3299">
      <w:pPr>
        <w:spacing w:line="240" w:lineRule="auto"/>
        <w:jc w:val="right"/>
        <w:rPr>
          <w:rFonts w:ascii="Times New Roman" w:hAnsi="Times New Roman"/>
          <w:sz w:val="24"/>
          <w:szCs w:val="24"/>
        </w:rPr>
      </w:pPr>
      <w:hyperlink r:id="rId8" w:history="1">
        <w:r w:rsidRPr="004F470E">
          <w:rPr>
            <w:rStyle w:val="Hipervnculo"/>
            <w:rFonts w:ascii="Times New Roman" w:hAnsi="Times New Roman"/>
            <w:sz w:val="24"/>
            <w:szCs w:val="24"/>
          </w:rPr>
          <w:t>herwin.cardona@esap.edu.co</w:t>
        </w:r>
      </w:hyperlink>
      <w:r>
        <w:rPr>
          <w:rFonts w:ascii="Times New Roman" w:hAnsi="Times New Roman"/>
          <w:sz w:val="24"/>
          <w:szCs w:val="24"/>
        </w:rPr>
        <w:t xml:space="preserve"> </w:t>
      </w:r>
    </w:p>
    <w:p w14:paraId="312E866B" w14:textId="77777777" w:rsidR="00461D12" w:rsidRDefault="00461D12" w:rsidP="00FA3299">
      <w:pPr>
        <w:spacing w:line="240" w:lineRule="auto"/>
        <w:jc w:val="right"/>
        <w:rPr>
          <w:rFonts w:ascii="Times New Roman" w:hAnsi="Times New Roman"/>
          <w:sz w:val="24"/>
          <w:szCs w:val="24"/>
        </w:rPr>
      </w:pPr>
    </w:p>
    <w:p w14:paraId="62A7E652" w14:textId="77777777" w:rsidR="00FA3299" w:rsidRDefault="00FA3299" w:rsidP="00FA3299">
      <w:pPr>
        <w:spacing w:line="240" w:lineRule="auto"/>
        <w:jc w:val="both"/>
        <w:rPr>
          <w:rFonts w:ascii="Times New Roman" w:hAnsi="Times New Roman"/>
          <w:b/>
          <w:i/>
          <w:sz w:val="26"/>
          <w:szCs w:val="26"/>
        </w:rPr>
      </w:pPr>
    </w:p>
    <w:p w14:paraId="5E3BCFE6" w14:textId="169A4074" w:rsidR="00FA3299" w:rsidRPr="00423E1C" w:rsidRDefault="00FA3299" w:rsidP="00FA3299">
      <w:pPr>
        <w:spacing w:line="240" w:lineRule="auto"/>
        <w:jc w:val="both"/>
        <w:rPr>
          <w:rFonts w:ascii="Times New Roman" w:hAnsi="Times New Roman"/>
          <w:b/>
          <w:sz w:val="26"/>
          <w:szCs w:val="26"/>
        </w:rPr>
      </w:pPr>
      <w:r>
        <w:rPr>
          <w:rFonts w:ascii="Times New Roman" w:hAnsi="Times New Roman"/>
          <w:b/>
          <w:i/>
          <w:sz w:val="26"/>
          <w:szCs w:val="26"/>
        </w:rPr>
        <w:t>Resumen</w:t>
      </w:r>
      <w:r w:rsidRPr="00423E1C">
        <w:rPr>
          <w:rFonts w:ascii="Times New Roman" w:hAnsi="Times New Roman"/>
          <w:b/>
          <w:i/>
          <w:sz w:val="26"/>
          <w:szCs w:val="26"/>
        </w:rPr>
        <w:t xml:space="preserve"> </w:t>
      </w:r>
    </w:p>
    <w:p w14:paraId="1814FD1D" w14:textId="567D4E87" w:rsidR="002B7CA3" w:rsidRDefault="00971D53" w:rsidP="00971D53">
      <w:pPr>
        <w:spacing w:line="240" w:lineRule="auto"/>
        <w:ind w:firstLine="284"/>
        <w:jc w:val="both"/>
        <w:rPr>
          <w:rFonts w:ascii="Times New Roman" w:hAnsi="Times New Roman"/>
          <w:sz w:val="24"/>
          <w:szCs w:val="24"/>
        </w:rPr>
      </w:pPr>
      <w:r>
        <w:rPr>
          <w:rFonts w:ascii="Times New Roman" w:hAnsi="Times New Roman"/>
          <w:sz w:val="24"/>
          <w:szCs w:val="24"/>
        </w:rPr>
        <w:t>La región del</w:t>
      </w:r>
      <w:r w:rsidRPr="00290B26">
        <w:rPr>
          <w:rFonts w:ascii="Times New Roman" w:hAnsi="Times New Roman"/>
          <w:sz w:val="24"/>
          <w:szCs w:val="24"/>
          <w:lang w:val="es-CO"/>
        </w:rPr>
        <w:t xml:space="preserve"> Pacífico Colombiano </w:t>
      </w:r>
      <w:r>
        <w:rPr>
          <w:rFonts w:ascii="Times New Roman" w:hAnsi="Times New Roman"/>
          <w:sz w:val="24"/>
          <w:szCs w:val="24"/>
          <w:lang w:val="es-CO"/>
        </w:rPr>
        <w:t xml:space="preserve">es considerada </w:t>
      </w:r>
      <w:r w:rsidRPr="00290B26">
        <w:rPr>
          <w:rFonts w:ascii="Times New Roman" w:hAnsi="Times New Roman"/>
          <w:sz w:val="24"/>
          <w:szCs w:val="24"/>
          <w:lang w:val="es-CO"/>
        </w:rPr>
        <w:t>la segunda más biodiversa del planeta</w:t>
      </w:r>
      <w:r>
        <w:rPr>
          <w:rFonts w:ascii="Times New Roman" w:hAnsi="Times New Roman"/>
          <w:sz w:val="24"/>
          <w:szCs w:val="24"/>
          <w:lang w:val="es-CO"/>
        </w:rPr>
        <w:t>. La atraviesa el río Atrato, reconocido por ser el más caudaloso del país. Sin embargo, debido a las prácticas de explotación de oro, se ha producido una grave crisis ambiental en la región</w:t>
      </w:r>
      <w:r w:rsidR="00452A98">
        <w:rPr>
          <w:rFonts w:ascii="Times New Roman" w:hAnsi="Times New Roman"/>
          <w:sz w:val="24"/>
          <w:szCs w:val="24"/>
          <w:lang w:val="es-CO"/>
        </w:rPr>
        <w:t>;</w:t>
      </w:r>
      <w:r>
        <w:rPr>
          <w:rFonts w:ascii="Times New Roman" w:hAnsi="Times New Roman"/>
          <w:sz w:val="24"/>
          <w:szCs w:val="24"/>
          <w:lang w:val="es-CO"/>
        </w:rPr>
        <w:t xml:space="preserve"> una de las más pobres y desiguales de Colombia, fuertemente afectada por el conflicto armado. </w:t>
      </w:r>
      <w:r w:rsidRPr="00290B26">
        <w:rPr>
          <w:rFonts w:ascii="Times New Roman" w:hAnsi="Times New Roman"/>
          <w:sz w:val="24"/>
          <w:szCs w:val="24"/>
          <w:lang w:val="es-CO"/>
        </w:rPr>
        <w:t xml:space="preserve">En 2015 el Centro de Estudios para la Justicia Social “Tierra Digna”, junto con otras organizaciones </w:t>
      </w:r>
      <w:r>
        <w:rPr>
          <w:rFonts w:ascii="Times New Roman" w:hAnsi="Times New Roman"/>
          <w:sz w:val="24"/>
          <w:szCs w:val="24"/>
          <w:lang w:val="es-CO"/>
        </w:rPr>
        <w:t>del Departamento del</w:t>
      </w:r>
      <w:r w:rsidRPr="00290B26">
        <w:rPr>
          <w:rFonts w:ascii="Times New Roman" w:hAnsi="Times New Roman"/>
          <w:sz w:val="24"/>
          <w:szCs w:val="24"/>
          <w:lang w:val="es-CO"/>
        </w:rPr>
        <w:t xml:space="preserve"> Chocó, interpusieron una tutela contra 26 entidades del Estado para buscar la protección del río Atrato</w:t>
      </w:r>
      <w:r>
        <w:rPr>
          <w:rFonts w:ascii="Times New Roman" w:hAnsi="Times New Roman"/>
          <w:sz w:val="24"/>
          <w:szCs w:val="24"/>
          <w:lang w:val="es-CO"/>
        </w:rPr>
        <w:t>. En el 2016 l</w:t>
      </w:r>
      <w:r w:rsidRPr="00290B26">
        <w:rPr>
          <w:rFonts w:ascii="Times New Roman" w:hAnsi="Times New Roman"/>
          <w:sz w:val="24"/>
          <w:szCs w:val="24"/>
          <w:lang w:val="es-CO"/>
        </w:rPr>
        <w:t xml:space="preserve">a Corte </w:t>
      </w:r>
      <w:r>
        <w:rPr>
          <w:rFonts w:ascii="Times New Roman" w:hAnsi="Times New Roman"/>
          <w:sz w:val="24"/>
          <w:szCs w:val="24"/>
          <w:lang w:val="es-CO"/>
        </w:rPr>
        <w:t xml:space="preserve">Constitucional </w:t>
      </w:r>
      <w:r w:rsidRPr="00290B26">
        <w:rPr>
          <w:rFonts w:ascii="Times New Roman" w:hAnsi="Times New Roman"/>
          <w:sz w:val="24"/>
          <w:szCs w:val="24"/>
          <w:lang w:val="es-CO"/>
        </w:rPr>
        <w:t>concluyó que las entidades estatales demandadas vulneraron los derechos a un ambiente sano</w:t>
      </w:r>
      <w:r>
        <w:rPr>
          <w:rFonts w:ascii="Times New Roman" w:hAnsi="Times New Roman"/>
          <w:sz w:val="24"/>
          <w:szCs w:val="24"/>
          <w:lang w:val="es-CO"/>
        </w:rPr>
        <w:t xml:space="preserve"> y declaro al río como sujeto de derechos. </w:t>
      </w:r>
      <w:r w:rsidRPr="00971D53">
        <w:rPr>
          <w:rFonts w:ascii="Times New Roman" w:hAnsi="Times New Roman"/>
          <w:sz w:val="24"/>
          <w:szCs w:val="24"/>
          <w:lang w:val="es-CO"/>
        </w:rPr>
        <w:t xml:space="preserve">La sentencia </w:t>
      </w:r>
      <w:r>
        <w:rPr>
          <w:rFonts w:ascii="Times New Roman" w:hAnsi="Times New Roman"/>
          <w:sz w:val="24"/>
          <w:szCs w:val="24"/>
          <w:lang w:val="es-CO"/>
        </w:rPr>
        <w:t>propuso conformar</w:t>
      </w:r>
      <w:r w:rsidRPr="00971D53">
        <w:rPr>
          <w:rFonts w:ascii="Times New Roman" w:hAnsi="Times New Roman"/>
          <w:sz w:val="24"/>
          <w:szCs w:val="24"/>
          <w:lang w:val="es-CO"/>
        </w:rPr>
        <w:t xml:space="preserve"> </w:t>
      </w:r>
      <w:r>
        <w:rPr>
          <w:rFonts w:ascii="Times New Roman" w:hAnsi="Times New Roman"/>
          <w:sz w:val="24"/>
          <w:szCs w:val="24"/>
          <w:lang w:val="es-CO"/>
        </w:rPr>
        <w:t xml:space="preserve">un comité que integra a distintas organizaciones comunitarias y </w:t>
      </w:r>
      <w:r w:rsidRPr="00971D53">
        <w:rPr>
          <w:rFonts w:ascii="Times New Roman" w:hAnsi="Times New Roman"/>
          <w:sz w:val="24"/>
          <w:szCs w:val="24"/>
          <w:lang w:val="es-CO"/>
        </w:rPr>
        <w:t>otorga  responsabilidades al Estado</w:t>
      </w:r>
      <w:r>
        <w:rPr>
          <w:rFonts w:ascii="Times New Roman" w:hAnsi="Times New Roman"/>
          <w:sz w:val="24"/>
          <w:szCs w:val="24"/>
          <w:lang w:val="es-CO"/>
        </w:rPr>
        <w:t xml:space="preserve"> para atender la crisis. </w:t>
      </w:r>
      <w:r w:rsidR="00452A98">
        <w:rPr>
          <w:rFonts w:ascii="Times New Roman" w:hAnsi="Times New Roman"/>
          <w:sz w:val="24"/>
          <w:szCs w:val="24"/>
          <w:lang w:val="es-CO"/>
        </w:rPr>
        <w:t>A partir de esta situación se propone construir un L</w:t>
      </w:r>
      <w:r w:rsidR="00452A98" w:rsidRPr="00452A98">
        <w:rPr>
          <w:rFonts w:ascii="Times New Roman" w:hAnsi="Times New Roman"/>
          <w:sz w:val="24"/>
          <w:szCs w:val="24"/>
          <w:lang w:val="es-CO"/>
        </w:rPr>
        <w:t xml:space="preserve">aboratorio social de estudios étnicos y ambientales </w:t>
      </w:r>
      <w:r w:rsidR="00452A98">
        <w:rPr>
          <w:rFonts w:ascii="Times New Roman" w:hAnsi="Times New Roman"/>
          <w:sz w:val="24"/>
          <w:szCs w:val="24"/>
          <w:lang w:val="es-CO"/>
        </w:rPr>
        <w:t xml:space="preserve">liderado por la Territorial Chocó de la Escuela Superior de Administración Pública. Se considera que, la presencia regional de la ESAP y su doble filiación (como entidad Pública e institución Universitaria) contribuye a la articulación entre las entidades del Estado y las organizaciones comunitarias encargadas de proteger el Atrato. Por una parte podrá brindar asesoría técnica, por otra, podrá contribuir a los procesos de investigación y sistematización de experiencias. </w:t>
      </w:r>
      <w:r w:rsidR="002B7CA3">
        <w:rPr>
          <w:rFonts w:ascii="Times New Roman" w:hAnsi="Times New Roman"/>
          <w:sz w:val="24"/>
          <w:szCs w:val="24"/>
        </w:rPr>
        <w:br w:type="page"/>
      </w:r>
    </w:p>
    <w:p w14:paraId="70F56423" w14:textId="77777777" w:rsidR="00E569AA" w:rsidRPr="00423E1C" w:rsidRDefault="00E569AA" w:rsidP="00E569AA">
      <w:pPr>
        <w:jc w:val="center"/>
        <w:rPr>
          <w:rFonts w:ascii="Times New Roman" w:hAnsi="Times New Roman"/>
          <w:b/>
          <w:sz w:val="32"/>
          <w:szCs w:val="32"/>
        </w:rPr>
      </w:pPr>
      <w:r w:rsidRPr="00290B26">
        <w:rPr>
          <w:rFonts w:ascii="Times New Roman" w:hAnsi="Times New Roman"/>
          <w:b/>
          <w:sz w:val="32"/>
          <w:szCs w:val="32"/>
        </w:rPr>
        <w:lastRenderedPageBreak/>
        <w:t>LABORATORIO SOCIAL DE ESTUDIOS ÉTNICOS Y AMBIENTALES DEL CHOCÓ. UNA PROPUESTA PARA LA GESTIÓN DEL CONOCIMIENTO EN EL PACÍFICO COLOMBIANO</w:t>
      </w:r>
    </w:p>
    <w:p w14:paraId="1ACF525D" w14:textId="77777777" w:rsidR="00E569AA" w:rsidRDefault="00E569AA" w:rsidP="00E569AA">
      <w:pPr>
        <w:spacing w:line="240" w:lineRule="auto"/>
        <w:jc w:val="right"/>
        <w:rPr>
          <w:rFonts w:ascii="Times New Roman" w:hAnsi="Times New Roman"/>
          <w:b/>
          <w:sz w:val="24"/>
          <w:szCs w:val="24"/>
        </w:rPr>
      </w:pPr>
      <w:proofErr w:type="spellStart"/>
      <w:r>
        <w:rPr>
          <w:rFonts w:ascii="Times New Roman" w:hAnsi="Times New Roman"/>
          <w:b/>
          <w:sz w:val="24"/>
          <w:szCs w:val="24"/>
        </w:rPr>
        <w:t>Herwin</w:t>
      </w:r>
      <w:proofErr w:type="spellEnd"/>
      <w:r>
        <w:rPr>
          <w:rFonts w:ascii="Times New Roman" w:hAnsi="Times New Roman"/>
          <w:b/>
          <w:sz w:val="24"/>
          <w:szCs w:val="24"/>
        </w:rPr>
        <w:t xml:space="preserve"> Eduardo Cardona </w:t>
      </w:r>
      <w:proofErr w:type="spellStart"/>
      <w:r>
        <w:rPr>
          <w:rFonts w:ascii="Times New Roman" w:hAnsi="Times New Roman"/>
          <w:b/>
          <w:sz w:val="24"/>
          <w:szCs w:val="24"/>
        </w:rPr>
        <w:t>Quitián</w:t>
      </w:r>
      <w:proofErr w:type="spellEnd"/>
    </w:p>
    <w:p w14:paraId="33A9051B" w14:textId="4811F1DC" w:rsidR="00E569AA" w:rsidRDefault="00E569AA" w:rsidP="00E569AA">
      <w:pPr>
        <w:spacing w:line="240" w:lineRule="auto"/>
        <w:jc w:val="right"/>
        <w:rPr>
          <w:rFonts w:ascii="Times New Roman" w:hAnsi="Times New Roman"/>
          <w:sz w:val="24"/>
          <w:szCs w:val="24"/>
        </w:rPr>
      </w:pPr>
      <w:r>
        <w:rPr>
          <w:rFonts w:ascii="Times New Roman" w:hAnsi="Times New Roman"/>
          <w:sz w:val="24"/>
          <w:szCs w:val="24"/>
        </w:rPr>
        <w:t>Escuela Superior de Administración Pública ESAP</w:t>
      </w:r>
      <w:r>
        <w:rPr>
          <w:rFonts w:ascii="Times New Roman" w:hAnsi="Times New Roman"/>
          <w:sz w:val="24"/>
          <w:szCs w:val="24"/>
        </w:rPr>
        <w:t>/</w:t>
      </w:r>
      <w:r>
        <w:rPr>
          <w:rFonts w:ascii="Times New Roman" w:hAnsi="Times New Roman"/>
          <w:sz w:val="24"/>
          <w:szCs w:val="24"/>
        </w:rPr>
        <w:t>Colombia</w:t>
      </w:r>
    </w:p>
    <w:p w14:paraId="31614F3E" w14:textId="77777777" w:rsidR="003A1870" w:rsidRDefault="003A1870" w:rsidP="003A1870">
      <w:pPr>
        <w:spacing w:line="240" w:lineRule="auto"/>
        <w:jc w:val="right"/>
        <w:rPr>
          <w:rFonts w:ascii="Times New Roman" w:hAnsi="Times New Roman"/>
          <w:sz w:val="24"/>
          <w:szCs w:val="24"/>
        </w:rPr>
      </w:pPr>
    </w:p>
    <w:p w14:paraId="7D29BD6F" w14:textId="77777777" w:rsidR="009C0B9E" w:rsidRDefault="009C0B9E" w:rsidP="003A1870">
      <w:pPr>
        <w:spacing w:line="240" w:lineRule="auto"/>
        <w:jc w:val="right"/>
        <w:rPr>
          <w:rFonts w:ascii="Times New Roman" w:hAnsi="Times New Roman"/>
          <w:sz w:val="24"/>
          <w:szCs w:val="24"/>
        </w:rPr>
      </w:pPr>
    </w:p>
    <w:p w14:paraId="45554934" w14:textId="50A2B0FF" w:rsidR="003A1870" w:rsidRPr="00423E1C" w:rsidRDefault="00423E1C" w:rsidP="00423E1C">
      <w:pPr>
        <w:spacing w:line="240" w:lineRule="auto"/>
        <w:jc w:val="both"/>
        <w:rPr>
          <w:rFonts w:ascii="Times New Roman" w:hAnsi="Times New Roman"/>
          <w:b/>
          <w:sz w:val="26"/>
          <w:szCs w:val="26"/>
        </w:rPr>
      </w:pPr>
      <w:r w:rsidRPr="00423E1C">
        <w:rPr>
          <w:rFonts w:ascii="Times New Roman" w:hAnsi="Times New Roman"/>
          <w:b/>
          <w:i/>
          <w:sz w:val="26"/>
          <w:szCs w:val="26"/>
        </w:rPr>
        <w:t xml:space="preserve">1.1. </w:t>
      </w:r>
      <w:r w:rsidR="002B7CA3">
        <w:rPr>
          <w:rFonts w:ascii="Times New Roman" w:hAnsi="Times New Roman"/>
          <w:b/>
          <w:i/>
          <w:sz w:val="26"/>
          <w:szCs w:val="26"/>
        </w:rPr>
        <w:t>I</w:t>
      </w:r>
      <w:r w:rsidR="002B7CA3" w:rsidRPr="002B7CA3">
        <w:rPr>
          <w:rFonts w:ascii="Times New Roman" w:hAnsi="Times New Roman"/>
          <w:b/>
          <w:i/>
          <w:sz w:val="26"/>
          <w:szCs w:val="26"/>
        </w:rPr>
        <w:t>dentificación del contexto</w:t>
      </w:r>
    </w:p>
    <w:p w14:paraId="0E7D9B36" w14:textId="7E6C7FE8" w:rsidR="00E569AA" w:rsidRPr="00E569AA" w:rsidRDefault="00E569AA" w:rsidP="00A012C8">
      <w:pPr>
        <w:spacing w:line="240" w:lineRule="auto"/>
        <w:ind w:firstLine="284"/>
        <w:jc w:val="both"/>
        <w:rPr>
          <w:rFonts w:ascii="Times New Roman" w:hAnsi="Times New Roman"/>
          <w:sz w:val="24"/>
          <w:szCs w:val="24"/>
        </w:rPr>
      </w:pPr>
      <w:r w:rsidRPr="00E569AA">
        <w:rPr>
          <w:rFonts w:ascii="Times New Roman" w:hAnsi="Times New Roman"/>
          <w:sz w:val="24"/>
          <w:szCs w:val="24"/>
        </w:rPr>
        <w:t xml:space="preserve">El Chocó es una región periférica y aislada de Colombia que se encuentra en el litoral Pacífico. Desde la época de la colonia se configuró como región para la explotación aurífera, para lo cual fue empleada la mano de obra esclava. Los blancos que administraban el negocio del oro se encontraban en otras ciudades como Popayán y Cartagena. El Chocó era percibido como una región inhóspita en la que solo podían vivir negros e indígenas. Con la independencia el esclavismo comenzó a desintegrarse y los blancos comenzaron a tener problemas para conseguir la mano de obra, pues los negros ya no querían trabajar para ellos. Por su parte, los negros se dedicaron a la extracción en pequeñas minas, </w:t>
      </w:r>
      <w:r w:rsidR="00A012C8">
        <w:rPr>
          <w:rFonts w:ascii="Times New Roman" w:hAnsi="Times New Roman"/>
          <w:sz w:val="24"/>
          <w:szCs w:val="24"/>
        </w:rPr>
        <w:t>para la</w:t>
      </w:r>
      <w:r w:rsidRPr="00E569AA">
        <w:rPr>
          <w:rFonts w:ascii="Times New Roman" w:hAnsi="Times New Roman"/>
          <w:sz w:val="24"/>
          <w:szCs w:val="24"/>
        </w:rPr>
        <w:t xml:space="preserve"> subsistencia. </w:t>
      </w:r>
    </w:p>
    <w:p w14:paraId="03B82B8E" w14:textId="77777777" w:rsidR="00E569AA" w:rsidRPr="00E569AA" w:rsidRDefault="00E569AA" w:rsidP="00E569AA">
      <w:pPr>
        <w:spacing w:line="240" w:lineRule="auto"/>
        <w:ind w:firstLine="284"/>
        <w:jc w:val="both"/>
        <w:rPr>
          <w:rFonts w:ascii="Times New Roman" w:hAnsi="Times New Roman"/>
          <w:sz w:val="24"/>
          <w:szCs w:val="24"/>
        </w:rPr>
      </w:pPr>
    </w:p>
    <w:p w14:paraId="4B6B9E42" w14:textId="6445054E" w:rsidR="00E569AA" w:rsidRPr="00E569AA" w:rsidRDefault="00E569AA" w:rsidP="00E569AA">
      <w:pPr>
        <w:spacing w:line="240" w:lineRule="auto"/>
        <w:ind w:firstLine="284"/>
        <w:jc w:val="both"/>
        <w:rPr>
          <w:rFonts w:ascii="Times New Roman" w:hAnsi="Times New Roman"/>
          <w:sz w:val="24"/>
          <w:szCs w:val="24"/>
        </w:rPr>
      </w:pPr>
      <w:r w:rsidRPr="00E569AA">
        <w:rPr>
          <w:rFonts w:ascii="Times New Roman" w:hAnsi="Times New Roman"/>
          <w:sz w:val="24"/>
          <w:szCs w:val="24"/>
        </w:rPr>
        <w:t>Como lo indican los estudios de Wade</w:t>
      </w:r>
      <w:r w:rsidR="00001A27">
        <w:rPr>
          <w:rFonts w:ascii="Times New Roman" w:hAnsi="Times New Roman"/>
          <w:sz w:val="24"/>
          <w:szCs w:val="24"/>
        </w:rPr>
        <w:t xml:space="preserve"> (1990)</w:t>
      </w:r>
      <w:r w:rsidRPr="00E569AA">
        <w:rPr>
          <w:rFonts w:ascii="Times New Roman" w:hAnsi="Times New Roman"/>
          <w:sz w:val="24"/>
          <w:szCs w:val="24"/>
        </w:rPr>
        <w:t>, a principios del siglo XX Chocó continuaba siendo una región estratificada, con las élites blancas a la cabeza. Además</w:t>
      </w:r>
      <w:r w:rsidR="00001A27">
        <w:rPr>
          <w:rFonts w:ascii="Times New Roman" w:hAnsi="Times New Roman"/>
          <w:sz w:val="24"/>
          <w:szCs w:val="24"/>
        </w:rPr>
        <w:t>,</w:t>
      </w:r>
      <w:r w:rsidRPr="00E569AA">
        <w:rPr>
          <w:rFonts w:ascii="Times New Roman" w:hAnsi="Times New Roman"/>
          <w:sz w:val="24"/>
          <w:szCs w:val="24"/>
        </w:rPr>
        <w:t xml:space="preserve"> se configuró una clase media predominantemente de empleados públicos y comerciantes que venían de afuera. Algunas familias negras habían ascendido a partir de la minería</w:t>
      </w:r>
      <w:r w:rsidR="00433D27">
        <w:rPr>
          <w:rFonts w:ascii="Times New Roman" w:hAnsi="Times New Roman"/>
          <w:sz w:val="24"/>
          <w:szCs w:val="24"/>
        </w:rPr>
        <w:t>, lo que permitió a sus hijos</w:t>
      </w:r>
      <w:r w:rsidRPr="00E569AA">
        <w:rPr>
          <w:rFonts w:ascii="Times New Roman" w:hAnsi="Times New Roman"/>
          <w:sz w:val="24"/>
          <w:szCs w:val="24"/>
        </w:rPr>
        <w:t xml:space="preserve"> estudiar </w:t>
      </w:r>
      <w:r w:rsidR="00433D27">
        <w:rPr>
          <w:rFonts w:ascii="Times New Roman" w:hAnsi="Times New Roman"/>
          <w:sz w:val="24"/>
          <w:szCs w:val="24"/>
        </w:rPr>
        <w:t xml:space="preserve">en el </w:t>
      </w:r>
      <w:r w:rsidRPr="00E569AA">
        <w:rPr>
          <w:rFonts w:ascii="Times New Roman" w:hAnsi="Times New Roman"/>
          <w:sz w:val="24"/>
          <w:szCs w:val="24"/>
        </w:rPr>
        <w:t xml:space="preserve">interior del país. Fue así como fueron posicionándose en instancias de poder político como el Concejo de Quibdó, que luego se convertiría en capital del departamento. Una vez Chocó pasó administrativamente de ser intendencia a departamento, se amplió el espectro político administrativo, lo que a su vez permitió un mayor control político por parte de </w:t>
      </w:r>
      <w:r>
        <w:rPr>
          <w:rFonts w:ascii="Times New Roman" w:hAnsi="Times New Roman"/>
          <w:sz w:val="24"/>
          <w:szCs w:val="24"/>
        </w:rPr>
        <w:t>algunas familias</w:t>
      </w:r>
      <w:r w:rsidRPr="00E569AA">
        <w:rPr>
          <w:rFonts w:ascii="Times New Roman" w:hAnsi="Times New Roman"/>
          <w:sz w:val="24"/>
          <w:szCs w:val="24"/>
        </w:rPr>
        <w:t xml:space="preserve"> negras. </w:t>
      </w:r>
    </w:p>
    <w:p w14:paraId="69A76E3C" w14:textId="77777777" w:rsidR="00ED0F2E" w:rsidRPr="00E569AA" w:rsidRDefault="00ED0F2E" w:rsidP="00ED0F2E">
      <w:pPr>
        <w:spacing w:line="240" w:lineRule="auto"/>
        <w:jc w:val="both"/>
        <w:rPr>
          <w:rFonts w:ascii="Times New Roman" w:hAnsi="Times New Roman"/>
          <w:sz w:val="24"/>
          <w:szCs w:val="24"/>
        </w:rPr>
      </w:pPr>
    </w:p>
    <w:p w14:paraId="1EF4A978" w14:textId="308D455F" w:rsidR="00ED0F2E" w:rsidRDefault="00ED0F2E" w:rsidP="00ED0F2E">
      <w:pPr>
        <w:spacing w:line="240" w:lineRule="auto"/>
        <w:ind w:firstLine="284"/>
        <w:jc w:val="both"/>
        <w:rPr>
          <w:rFonts w:ascii="Times New Roman" w:hAnsi="Times New Roman"/>
          <w:sz w:val="24"/>
          <w:szCs w:val="24"/>
        </w:rPr>
      </w:pPr>
      <w:r w:rsidRPr="00ED0F2E">
        <w:rPr>
          <w:rFonts w:ascii="Times New Roman" w:hAnsi="Times New Roman"/>
          <w:sz w:val="24"/>
          <w:szCs w:val="24"/>
        </w:rPr>
        <w:t>En la década de los 90 emerge el interés por el Pacífico, en el que confluyen distintos representantes del gobierno, académicos, organizaciones sociales y organismos multilaterales. La apertura económica y la ampliación del marco de derechos introducidos por la Constitución de 1991 dieron pie a este proceso. Allí se fortalecieron las formas organizativas de las comunidades como el llamado PCN, Proceso de Comunidades Negras. Con la ley 70 de 1993 en la cual se protegían los territorios de las comunidades negras y se instalaba un marco para la titulación colectiva, el interés por el Pacífico aumentó. Pero asimismo se amplió la frontera para el ingreso de capitales y de actores armados que aumentaron la conflictividad en la región</w:t>
      </w:r>
      <w:r w:rsidR="00DE44EC">
        <w:rPr>
          <w:rFonts w:ascii="Times New Roman" w:hAnsi="Times New Roman"/>
          <w:sz w:val="24"/>
          <w:szCs w:val="24"/>
        </w:rPr>
        <w:t xml:space="preserve"> (Escobar, 2010).</w:t>
      </w:r>
    </w:p>
    <w:p w14:paraId="09F2BDDE" w14:textId="77777777" w:rsidR="00ED0F2E" w:rsidRDefault="00ED0F2E" w:rsidP="00ED0F2E">
      <w:pPr>
        <w:spacing w:line="240" w:lineRule="auto"/>
        <w:ind w:firstLine="284"/>
        <w:jc w:val="both"/>
        <w:rPr>
          <w:rFonts w:ascii="Times New Roman" w:hAnsi="Times New Roman"/>
          <w:sz w:val="24"/>
          <w:szCs w:val="24"/>
        </w:rPr>
      </w:pPr>
    </w:p>
    <w:p w14:paraId="28768AC4" w14:textId="430CC4F6" w:rsidR="00ED0F2E" w:rsidRPr="00ED0F2E" w:rsidRDefault="00C23036" w:rsidP="00C23036">
      <w:pPr>
        <w:spacing w:line="240" w:lineRule="auto"/>
        <w:ind w:firstLine="284"/>
        <w:jc w:val="both"/>
        <w:rPr>
          <w:rFonts w:ascii="Times New Roman" w:hAnsi="Times New Roman"/>
          <w:sz w:val="24"/>
          <w:szCs w:val="24"/>
        </w:rPr>
      </w:pPr>
      <w:r>
        <w:rPr>
          <w:rFonts w:ascii="Times New Roman" w:hAnsi="Times New Roman"/>
          <w:sz w:val="24"/>
          <w:szCs w:val="24"/>
        </w:rPr>
        <w:lastRenderedPageBreak/>
        <w:t xml:space="preserve">En </w:t>
      </w:r>
      <w:r w:rsidR="00ED0F2E" w:rsidRPr="00ED0F2E">
        <w:rPr>
          <w:rFonts w:ascii="Times New Roman" w:hAnsi="Times New Roman"/>
          <w:sz w:val="24"/>
          <w:szCs w:val="24"/>
          <w:lang w:val="es-CO"/>
        </w:rPr>
        <w:t xml:space="preserve">una reunión realizada </w:t>
      </w:r>
      <w:r>
        <w:rPr>
          <w:rFonts w:ascii="Times New Roman" w:hAnsi="Times New Roman"/>
          <w:sz w:val="24"/>
          <w:szCs w:val="24"/>
          <w:lang w:val="es-CO"/>
        </w:rPr>
        <w:t>con líderes sociales en 1995 cuyos objetivos eran</w:t>
      </w:r>
      <w:r w:rsidRPr="00ED0F2E">
        <w:rPr>
          <w:rFonts w:ascii="Times New Roman" w:hAnsi="Times New Roman"/>
          <w:sz w:val="24"/>
          <w:szCs w:val="24"/>
          <w:lang w:val="es-CO"/>
        </w:rPr>
        <w:t xml:space="preserve"> examinar la situación social y ambiental del Pacífico, discutir las relaciones interétnicas y proponer estrategias conjuntas de negociación con el estado sobre distintos planes y políticas</w:t>
      </w:r>
      <w:r>
        <w:rPr>
          <w:rFonts w:ascii="Times New Roman" w:hAnsi="Times New Roman"/>
          <w:sz w:val="24"/>
          <w:szCs w:val="24"/>
          <w:lang w:val="es-CO"/>
        </w:rPr>
        <w:t>, l</w:t>
      </w:r>
      <w:r w:rsidR="00ED0F2E" w:rsidRPr="00ED0F2E">
        <w:rPr>
          <w:rFonts w:ascii="Times New Roman" w:hAnsi="Times New Roman"/>
          <w:sz w:val="24"/>
          <w:szCs w:val="24"/>
          <w:lang w:val="es-CO"/>
        </w:rPr>
        <w:t xml:space="preserve">os activistas dejaron claro que </w:t>
      </w:r>
      <w:r>
        <w:rPr>
          <w:rFonts w:ascii="Times New Roman" w:hAnsi="Times New Roman"/>
          <w:sz w:val="24"/>
          <w:szCs w:val="24"/>
          <w:lang w:val="es-CO"/>
        </w:rPr>
        <w:t>era necesario defender la vida a partir de la integración de</w:t>
      </w:r>
      <w:r w:rsidR="00ED0F2E" w:rsidRPr="00ED0F2E">
        <w:rPr>
          <w:rFonts w:ascii="Times New Roman" w:hAnsi="Times New Roman"/>
          <w:sz w:val="24"/>
          <w:szCs w:val="24"/>
          <w:lang w:val="es-CO"/>
        </w:rPr>
        <w:t xml:space="preserve"> las cosmovisiones de los grupos indígenas y negros </w:t>
      </w:r>
      <w:r>
        <w:rPr>
          <w:rFonts w:ascii="Times New Roman" w:hAnsi="Times New Roman"/>
          <w:sz w:val="24"/>
          <w:szCs w:val="24"/>
          <w:lang w:val="es-CO"/>
        </w:rPr>
        <w:t>del pacífico</w:t>
      </w:r>
      <w:r w:rsidR="00DE44EC">
        <w:rPr>
          <w:rFonts w:ascii="Times New Roman" w:hAnsi="Times New Roman"/>
          <w:sz w:val="24"/>
          <w:szCs w:val="24"/>
          <w:lang w:val="es-CO"/>
        </w:rPr>
        <w:t xml:space="preserve"> (Escobar, 2010). </w:t>
      </w:r>
      <w:r>
        <w:rPr>
          <w:rFonts w:ascii="Times New Roman" w:hAnsi="Times New Roman"/>
          <w:sz w:val="24"/>
          <w:szCs w:val="24"/>
          <w:lang w:val="es-CO"/>
        </w:rPr>
        <w:t>A partir de allí se dejaron sentadas las bases para comprender al Pacífico como</w:t>
      </w:r>
      <w:r>
        <w:rPr>
          <w:rFonts w:ascii="Times New Roman" w:hAnsi="Times New Roman"/>
          <w:sz w:val="24"/>
          <w:szCs w:val="24"/>
        </w:rPr>
        <w:t xml:space="preserve"> </w:t>
      </w:r>
      <w:r w:rsidR="00ED0F2E" w:rsidRPr="00ED0F2E">
        <w:rPr>
          <w:rFonts w:ascii="Times New Roman" w:hAnsi="Times New Roman"/>
          <w:sz w:val="24"/>
          <w:szCs w:val="24"/>
          <w:lang w:val="es-CO"/>
        </w:rPr>
        <w:t>un territorio ancestral de grupos étnico</w:t>
      </w:r>
      <w:r>
        <w:rPr>
          <w:rFonts w:ascii="Times New Roman" w:hAnsi="Times New Roman"/>
          <w:sz w:val="24"/>
          <w:szCs w:val="24"/>
          <w:lang w:val="es-CO"/>
        </w:rPr>
        <w:t>s,</w:t>
      </w:r>
      <w:r w:rsidR="00ED0F2E" w:rsidRPr="00ED0F2E">
        <w:rPr>
          <w:rFonts w:ascii="Times New Roman" w:hAnsi="Times New Roman"/>
          <w:sz w:val="24"/>
          <w:szCs w:val="24"/>
          <w:lang w:val="es-CO"/>
        </w:rPr>
        <w:t xml:space="preserve"> culturalmente diversos </w:t>
      </w:r>
      <w:r>
        <w:rPr>
          <w:rFonts w:ascii="Times New Roman" w:hAnsi="Times New Roman"/>
          <w:sz w:val="24"/>
          <w:szCs w:val="24"/>
          <w:lang w:val="es-CO"/>
        </w:rPr>
        <w:t xml:space="preserve">y en capacidad de asumir </w:t>
      </w:r>
      <w:r w:rsidR="00ED0F2E" w:rsidRPr="00ED0F2E">
        <w:rPr>
          <w:rFonts w:ascii="Times New Roman" w:hAnsi="Times New Roman"/>
          <w:sz w:val="24"/>
          <w:szCs w:val="24"/>
          <w:lang w:val="es-CO"/>
        </w:rPr>
        <w:t xml:space="preserve">la coordinación </w:t>
      </w:r>
      <w:r>
        <w:rPr>
          <w:rFonts w:ascii="Times New Roman" w:hAnsi="Times New Roman"/>
          <w:sz w:val="24"/>
          <w:szCs w:val="24"/>
          <w:lang w:val="es-CO"/>
        </w:rPr>
        <w:t xml:space="preserve">y </w:t>
      </w:r>
      <w:r w:rsidR="00ED0F2E" w:rsidRPr="00ED0F2E">
        <w:rPr>
          <w:rFonts w:ascii="Times New Roman" w:hAnsi="Times New Roman"/>
          <w:sz w:val="24"/>
          <w:szCs w:val="24"/>
          <w:lang w:val="es-CO"/>
        </w:rPr>
        <w:t xml:space="preserve">defensa de sus territorios </w:t>
      </w:r>
      <w:r>
        <w:rPr>
          <w:rFonts w:ascii="Times New Roman" w:hAnsi="Times New Roman"/>
          <w:sz w:val="24"/>
          <w:szCs w:val="24"/>
          <w:lang w:val="es-CO"/>
        </w:rPr>
        <w:t>a partir de s</w:t>
      </w:r>
      <w:r w:rsidR="00ED0F2E" w:rsidRPr="00ED0F2E">
        <w:rPr>
          <w:rFonts w:ascii="Times New Roman" w:hAnsi="Times New Roman"/>
          <w:sz w:val="24"/>
          <w:szCs w:val="24"/>
          <w:lang w:val="es-CO"/>
        </w:rPr>
        <w:t>us conocimientos tradicionales</w:t>
      </w:r>
      <w:r w:rsidR="00433D27">
        <w:rPr>
          <w:rFonts w:ascii="Times New Roman" w:hAnsi="Times New Roman"/>
          <w:sz w:val="24"/>
          <w:szCs w:val="24"/>
          <w:lang w:val="es-CO"/>
        </w:rPr>
        <w:t>.</w:t>
      </w:r>
    </w:p>
    <w:p w14:paraId="58A9F160" w14:textId="0A9DE30B" w:rsidR="00504129" w:rsidRDefault="00504129" w:rsidP="00A012C8">
      <w:pPr>
        <w:spacing w:line="240" w:lineRule="auto"/>
        <w:jc w:val="both"/>
        <w:rPr>
          <w:rFonts w:ascii="Times New Roman" w:hAnsi="Times New Roman"/>
          <w:sz w:val="24"/>
          <w:szCs w:val="24"/>
        </w:rPr>
      </w:pPr>
    </w:p>
    <w:p w14:paraId="6E2278EC" w14:textId="77777777" w:rsidR="00433D27" w:rsidRDefault="00504129" w:rsidP="00504129">
      <w:pPr>
        <w:spacing w:line="240" w:lineRule="auto"/>
        <w:ind w:firstLine="284"/>
        <w:jc w:val="both"/>
        <w:rPr>
          <w:rFonts w:ascii="Times New Roman" w:hAnsi="Times New Roman"/>
          <w:sz w:val="24"/>
          <w:szCs w:val="24"/>
        </w:rPr>
      </w:pPr>
      <w:r w:rsidRPr="00C23036">
        <w:rPr>
          <w:rFonts w:ascii="Times New Roman" w:hAnsi="Times New Roman"/>
          <w:sz w:val="24"/>
          <w:szCs w:val="24"/>
        </w:rPr>
        <w:t xml:space="preserve">En el año 2015 el Centro de Estudios para la Justicia Social “Tierra Digna”, junto con otras organizaciones como el Foro Interétnico Solidaridad Chocó (FISCH) y los Consejos Comunitarios Mayores de la cuenca del Atrato, interpusieron una tutela contra 26 entidades del Estado para buscar la protección del río Atrato afectado por la contaminación y degradación producida fundamentalmente por las prácticas de extracción de oro. </w:t>
      </w:r>
    </w:p>
    <w:p w14:paraId="19A3D31E" w14:textId="77777777" w:rsidR="00433D27" w:rsidRDefault="00433D27" w:rsidP="00504129">
      <w:pPr>
        <w:spacing w:line="240" w:lineRule="auto"/>
        <w:ind w:firstLine="284"/>
        <w:jc w:val="both"/>
        <w:rPr>
          <w:rFonts w:ascii="Times New Roman" w:hAnsi="Times New Roman"/>
          <w:sz w:val="24"/>
          <w:szCs w:val="24"/>
        </w:rPr>
      </w:pPr>
    </w:p>
    <w:p w14:paraId="68C8372C" w14:textId="0C6CFC22" w:rsidR="00433D27" w:rsidRDefault="00433D27" w:rsidP="00433D27">
      <w:pPr>
        <w:spacing w:line="240" w:lineRule="auto"/>
        <w:ind w:firstLine="284"/>
        <w:jc w:val="both"/>
        <w:rPr>
          <w:rFonts w:ascii="Times New Roman" w:hAnsi="Times New Roman"/>
          <w:sz w:val="24"/>
          <w:szCs w:val="24"/>
        </w:rPr>
      </w:pPr>
      <w:r>
        <w:rPr>
          <w:rFonts w:ascii="Times New Roman" w:hAnsi="Times New Roman"/>
          <w:sz w:val="24"/>
          <w:szCs w:val="24"/>
        </w:rPr>
        <w:t>L</w:t>
      </w:r>
      <w:r w:rsidR="00504129" w:rsidRPr="00C23036">
        <w:rPr>
          <w:rFonts w:ascii="Times New Roman" w:hAnsi="Times New Roman"/>
          <w:sz w:val="24"/>
          <w:szCs w:val="24"/>
        </w:rPr>
        <w:t>a Corte Constitucional falló a su favor, en la sentencia T-622</w:t>
      </w:r>
      <w:r>
        <w:rPr>
          <w:rFonts w:ascii="Times New Roman" w:hAnsi="Times New Roman"/>
          <w:sz w:val="24"/>
          <w:szCs w:val="24"/>
        </w:rPr>
        <w:t xml:space="preserve"> de 2016</w:t>
      </w:r>
      <w:r w:rsidR="00504129" w:rsidRPr="00C23036">
        <w:rPr>
          <w:rFonts w:ascii="Times New Roman" w:hAnsi="Times New Roman"/>
          <w:sz w:val="24"/>
          <w:szCs w:val="24"/>
        </w:rPr>
        <w:t xml:space="preserve">. </w:t>
      </w:r>
      <w:r>
        <w:rPr>
          <w:rFonts w:ascii="Times New Roman" w:hAnsi="Times New Roman"/>
          <w:sz w:val="24"/>
          <w:szCs w:val="24"/>
        </w:rPr>
        <w:t>C</w:t>
      </w:r>
      <w:r w:rsidR="00504129" w:rsidRPr="00C23036">
        <w:rPr>
          <w:rFonts w:ascii="Times New Roman" w:hAnsi="Times New Roman"/>
          <w:sz w:val="24"/>
          <w:szCs w:val="24"/>
        </w:rPr>
        <w:t>oncluyó que las entidades estatales demandadas vulneraron los derechos a un ambiente sano, a la salud, al agua, a la alimentación y soberanía alimentaria, a la libertad de tránsito, a la supervivencia física y cultural, al mínimo vital y vida digna, a la consulta previa y al territorio de las comunidades étnicas que habitan la cuenca del Atrato, sus afluentes y territorios aledaños.</w:t>
      </w:r>
      <w:r w:rsidR="00504129">
        <w:rPr>
          <w:rFonts w:ascii="Times New Roman" w:hAnsi="Times New Roman"/>
          <w:sz w:val="24"/>
          <w:szCs w:val="24"/>
        </w:rPr>
        <w:t xml:space="preserve"> </w:t>
      </w:r>
      <w:r w:rsidR="00504129" w:rsidRPr="00C23036">
        <w:rPr>
          <w:rFonts w:ascii="Times New Roman" w:hAnsi="Times New Roman"/>
          <w:sz w:val="24"/>
          <w:szCs w:val="24"/>
        </w:rPr>
        <w:t xml:space="preserve">Lo novedoso de la sentencia es que en ella se declara al río Atrato como sujeto de derechos, es decir como una entidad viviente que sostiene la vida de las culturas y de las demás especies. </w:t>
      </w:r>
    </w:p>
    <w:p w14:paraId="4C11617E" w14:textId="77777777" w:rsidR="00DE44EC" w:rsidRDefault="00DE44EC" w:rsidP="00433D27">
      <w:pPr>
        <w:spacing w:line="240" w:lineRule="auto"/>
        <w:ind w:firstLine="284"/>
        <w:jc w:val="both"/>
        <w:rPr>
          <w:rFonts w:ascii="Times New Roman" w:hAnsi="Times New Roman"/>
          <w:sz w:val="24"/>
          <w:szCs w:val="24"/>
        </w:rPr>
      </w:pPr>
    </w:p>
    <w:p w14:paraId="661BD770" w14:textId="6459EC39" w:rsidR="00504129" w:rsidRPr="00ED0F2E" w:rsidRDefault="00504129" w:rsidP="00433D27">
      <w:pPr>
        <w:spacing w:line="240" w:lineRule="auto"/>
        <w:ind w:firstLine="284"/>
        <w:jc w:val="both"/>
        <w:rPr>
          <w:rFonts w:ascii="Times New Roman" w:hAnsi="Times New Roman"/>
          <w:sz w:val="24"/>
          <w:szCs w:val="24"/>
        </w:rPr>
      </w:pPr>
      <w:r>
        <w:rPr>
          <w:rFonts w:ascii="Times New Roman" w:hAnsi="Times New Roman"/>
          <w:sz w:val="24"/>
          <w:szCs w:val="24"/>
        </w:rPr>
        <w:t>C</w:t>
      </w:r>
      <w:r w:rsidRPr="00C23036">
        <w:rPr>
          <w:rFonts w:ascii="Times New Roman" w:hAnsi="Times New Roman"/>
          <w:sz w:val="24"/>
          <w:szCs w:val="24"/>
        </w:rPr>
        <w:t xml:space="preserve">on la sentencia la corte reconoce los derechos bioculturales a través de los cuales faculta a las comunidades que habitan el Atrato para administrar y ejercer tutela de manera autónoma sobre su territorio y sus ecosistemas. En ese sentido, la protección no es solo sobre el río sino sobre las culturas y las tradiciones de las comunidades cuyas vidas se han gestado en sus cuencas. Además de la protección, la sentencia otorga facultades para lograr la conservación el mantenimiento y la restauración del río. </w:t>
      </w:r>
    </w:p>
    <w:p w14:paraId="08B7315C" w14:textId="77777777" w:rsidR="00C23036" w:rsidRPr="00E569AA" w:rsidRDefault="00C23036" w:rsidP="00E569AA">
      <w:pPr>
        <w:spacing w:line="240" w:lineRule="auto"/>
        <w:ind w:firstLine="284"/>
        <w:jc w:val="both"/>
        <w:rPr>
          <w:rFonts w:ascii="Times New Roman" w:hAnsi="Times New Roman"/>
          <w:sz w:val="24"/>
          <w:szCs w:val="24"/>
        </w:rPr>
      </w:pPr>
    </w:p>
    <w:p w14:paraId="1CA748A8" w14:textId="19F1623A" w:rsidR="00C23036" w:rsidRPr="00504129" w:rsidRDefault="002B7CA3" w:rsidP="00504129">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2</w:t>
      </w:r>
      <w:r w:rsidRPr="00423E1C">
        <w:rPr>
          <w:rFonts w:ascii="Times New Roman" w:hAnsi="Times New Roman"/>
          <w:b/>
          <w:i/>
          <w:sz w:val="26"/>
          <w:szCs w:val="26"/>
        </w:rPr>
        <w:t xml:space="preserve">. </w:t>
      </w:r>
      <w:r>
        <w:rPr>
          <w:rFonts w:ascii="Times New Roman" w:hAnsi="Times New Roman"/>
          <w:b/>
          <w:i/>
          <w:sz w:val="26"/>
          <w:szCs w:val="26"/>
        </w:rPr>
        <w:t>D</w:t>
      </w:r>
      <w:r w:rsidRPr="002B7CA3">
        <w:rPr>
          <w:rFonts w:ascii="Times New Roman" w:hAnsi="Times New Roman"/>
          <w:b/>
          <w:i/>
          <w:sz w:val="26"/>
          <w:szCs w:val="26"/>
        </w:rPr>
        <w:t>escripción de la propuesta</w:t>
      </w:r>
    </w:p>
    <w:p w14:paraId="7F8699A0" w14:textId="582BC2DE" w:rsidR="00504129" w:rsidRPr="00504129" w:rsidRDefault="00504129" w:rsidP="00504129">
      <w:pPr>
        <w:spacing w:line="240" w:lineRule="auto"/>
        <w:ind w:firstLine="284"/>
        <w:jc w:val="both"/>
        <w:rPr>
          <w:rFonts w:ascii="Times New Roman" w:hAnsi="Times New Roman"/>
          <w:sz w:val="24"/>
          <w:szCs w:val="24"/>
        </w:rPr>
      </w:pPr>
      <w:r w:rsidRPr="00504129">
        <w:rPr>
          <w:rFonts w:ascii="Times New Roman" w:hAnsi="Times New Roman"/>
          <w:sz w:val="24"/>
          <w:szCs w:val="24"/>
        </w:rPr>
        <w:t xml:space="preserve">En la globalización, el conocimiento adquiere un valor fundamental para el desarrollo de la economía. Como lo indica </w:t>
      </w:r>
      <w:proofErr w:type="spellStart"/>
      <w:r w:rsidRPr="00504129">
        <w:rPr>
          <w:rFonts w:ascii="Times New Roman" w:hAnsi="Times New Roman"/>
          <w:sz w:val="24"/>
          <w:szCs w:val="24"/>
        </w:rPr>
        <w:t>Boisier</w:t>
      </w:r>
      <w:proofErr w:type="spellEnd"/>
      <w:r w:rsidR="00DE44EC">
        <w:rPr>
          <w:rFonts w:ascii="Times New Roman" w:hAnsi="Times New Roman"/>
          <w:sz w:val="24"/>
          <w:szCs w:val="24"/>
        </w:rPr>
        <w:t xml:space="preserve"> (2001)</w:t>
      </w:r>
      <w:r w:rsidRPr="00504129">
        <w:rPr>
          <w:rFonts w:ascii="Times New Roman" w:hAnsi="Times New Roman"/>
          <w:sz w:val="24"/>
          <w:szCs w:val="24"/>
        </w:rPr>
        <w:t xml:space="preserve">, los bienes y servicios contienen cada vez más progreso técnico. Al mismo tiempo, el conocimiento se traduce en la producción de objetos más sofisticados a nivel tecnológico. Es por eso que adquirir más conocimiento se convierte en un imperativo de las sociedades contemporáneas. </w:t>
      </w:r>
    </w:p>
    <w:p w14:paraId="69C08031" w14:textId="77777777" w:rsidR="00504129" w:rsidRPr="00504129" w:rsidRDefault="00504129" w:rsidP="00504129">
      <w:pPr>
        <w:spacing w:line="240" w:lineRule="auto"/>
        <w:ind w:firstLine="284"/>
        <w:jc w:val="both"/>
        <w:rPr>
          <w:rFonts w:ascii="Times New Roman" w:hAnsi="Times New Roman"/>
          <w:sz w:val="24"/>
          <w:szCs w:val="24"/>
        </w:rPr>
      </w:pPr>
    </w:p>
    <w:p w14:paraId="17F56BC9" w14:textId="64316D7D" w:rsidR="00504129" w:rsidRPr="00504129" w:rsidRDefault="00504129" w:rsidP="00504129">
      <w:pPr>
        <w:spacing w:line="240" w:lineRule="auto"/>
        <w:ind w:firstLine="284"/>
        <w:jc w:val="both"/>
        <w:rPr>
          <w:rFonts w:ascii="Times New Roman" w:hAnsi="Times New Roman"/>
          <w:sz w:val="24"/>
          <w:szCs w:val="24"/>
        </w:rPr>
      </w:pPr>
      <w:proofErr w:type="spellStart"/>
      <w:r w:rsidRPr="00504129">
        <w:rPr>
          <w:rFonts w:ascii="Times New Roman" w:hAnsi="Times New Roman"/>
          <w:sz w:val="24"/>
          <w:szCs w:val="24"/>
        </w:rPr>
        <w:t>Boisier</w:t>
      </w:r>
      <w:proofErr w:type="spellEnd"/>
      <w:r w:rsidRPr="00504129">
        <w:rPr>
          <w:rFonts w:ascii="Times New Roman" w:hAnsi="Times New Roman"/>
          <w:sz w:val="24"/>
          <w:szCs w:val="24"/>
        </w:rPr>
        <w:t xml:space="preserve"> </w:t>
      </w:r>
      <w:r w:rsidR="00DE44EC">
        <w:rPr>
          <w:rFonts w:ascii="Times New Roman" w:hAnsi="Times New Roman"/>
          <w:sz w:val="24"/>
          <w:szCs w:val="24"/>
        </w:rPr>
        <w:t xml:space="preserve">(2001) </w:t>
      </w:r>
      <w:r w:rsidRPr="00504129">
        <w:rPr>
          <w:rFonts w:ascii="Times New Roman" w:hAnsi="Times New Roman"/>
          <w:sz w:val="24"/>
          <w:szCs w:val="24"/>
        </w:rPr>
        <w:t xml:space="preserve">establece una distinción importante entre conocimiento codificado y conocimiento tácito. Este último, tendría una mayor movilidad, pero también </w:t>
      </w:r>
      <w:r w:rsidR="00433D27" w:rsidRPr="00504129">
        <w:rPr>
          <w:rFonts w:ascii="Times New Roman" w:hAnsi="Times New Roman"/>
          <w:sz w:val="24"/>
          <w:szCs w:val="24"/>
        </w:rPr>
        <w:t>un mayor anclaje territorial</w:t>
      </w:r>
      <w:r w:rsidR="00433D27">
        <w:rPr>
          <w:rFonts w:ascii="Times New Roman" w:hAnsi="Times New Roman"/>
          <w:sz w:val="24"/>
          <w:szCs w:val="24"/>
        </w:rPr>
        <w:t>,</w:t>
      </w:r>
      <w:r w:rsidRPr="00504129">
        <w:rPr>
          <w:rFonts w:ascii="Times New Roman" w:hAnsi="Times New Roman"/>
          <w:sz w:val="24"/>
          <w:szCs w:val="24"/>
        </w:rPr>
        <w:t xml:space="preserve"> </w:t>
      </w:r>
      <w:r w:rsidR="00433D27">
        <w:rPr>
          <w:rFonts w:ascii="Times New Roman" w:hAnsi="Times New Roman"/>
          <w:sz w:val="24"/>
          <w:szCs w:val="24"/>
        </w:rPr>
        <w:t xml:space="preserve">pues </w:t>
      </w:r>
      <w:r w:rsidRPr="00504129">
        <w:rPr>
          <w:rFonts w:ascii="Times New Roman" w:hAnsi="Times New Roman"/>
          <w:sz w:val="24"/>
          <w:szCs w:val="24"/>
        </w:rPr>
        <w:t xml:space="preserve">reside tanto en las personas como en los colectivos. De acuerdo con su concepción, este conocimiento tácito constituye al mismo </w:t>
      </w:r>
      <w:r>
        <w:rPr>
          <w:rFonts w:ascii="Times New Roman" w:hAnsi="Times New Roman"/>
          <w:sz w:val="24"/>
          <w:szCs w:val="24"/>
        </w:rPr>
        <w:t xml:space="preserve">tiempo </w:t>
      </w:r>
      <w:r w:rsidRPr="00504129">
        <w:rPr>
          <w:rFonts w:ascii="Times New Roman" w:hAnsi="Times New Roman"/>
          <w:sz w:val="24"/>
          <w:szCs w:val="24"/>
        </w:rPr>
        <w:t xml:space="preserve">un factor localizador que </w:t>
      </w:r>
      <w:r w:rsidRPr="00504129">
        <w:rPr>
          <w:rFonts w:ascii="Times New Roman" w:hAnsi="Times New Roman"/>
          <w:sz w:val="24"/>
          <w:szCs w:val="24"/>
        </w:rPr>
        <w:lastRenderedPageBreak/>
        <w:t xml:space="preserve">permite el desarrollo territorial. El posicionamiento del conocimiento tácito territorial, depende en buena medida del conocimiento, la complejidad y la velocidad. </w:t>
      </w:r>
    </w:p>
    <w:p w14:paraId="3D34C92C" w14:textId="1CD2979E" w:rsidR="00504129" w:rsidRPr="00504129" w:rsidRDefault="00504129" w:rsidP="00504129">
      <w:pPr>
        <w:spacing w:line="240" w:lineRule="auto"/>
        <w:ind w:firstLine="284"/>
        <w:jc w:val="both"/>
        <w:rPr>
          <w:rFonts w:ascii="Times New Roman" w:hAnsi="Times New Roman"/>
          <w:sz w:val="24"/>
          <w:szCs w:val="24"/>
        </w:rPr>
      </w:pPr>
      <w:r w:rsidRPr="00504129">
        <w:rPr>
          <w:rFonts w:ascii="Times New Roman" w:hAnsi="Times New Roman"/>
          <w:sz w:val="24"/>
          <w:szCs w:val="24"/>
        </w:rPr>
        <w:t xml:space="preserve">Pero, así como la economía depende de la velocidad y el cambio tecnológico, su desarrollo también depende de la innovación y el aprendizaje. Este último se produce a partir del intercambio de conocimiento; el cual a la vez emerge de la cooperación y las formas de innovación para resolver los problemas comunes en un territorio determinado. Según </w:t>
      </w:r>
      <w:proofErr w:type="spellStart"/>
      <w:r w:rsidRPr="00504129">
        <w:rPr>
          <w:rFonts w:ascii="Times New Roman" w:hAnsi="Times New Roman"/>
          <w:sz w:val="24"/>
          <w:szCs w:val="24"/>
        </w:rPr>
        <w:t>Boisier</w:t>
      </w:r>
      <w:proofErr w:type="spellEnd"/>
      <w:r w:rsidR="00DE44EC">
        <w:rPr>
          <w:rFonts w:ascii="Times New Roman" w:hAnsi="Times New Roman"/>
          <w:sz w:val="24"/>
          <w:szCs w:val="24"/>
        </w:rPr>
        <w:t xml:space="preserve"> (2001)</w:t>
      </w:r>
      <w:r w:rsidRPr="00504129">
        <w:rPr>
          <w:rFonts w:ascii="Times New Roman" w:hAnsi="Times New Roman"/>
          <w:sz w:val="24"/>
          <w:szCs w:val="24"/>
        </w:rPr>
        <w:t xml:space="preserve">, el aprendizaje colectivo regional es la forma de enfrentar la incertidumbre. El aprendizaje colectivo se construye a partir de conocimiento básico común que facilita la cooperación para la solución de problemas comunes. </w:t>
      </w:r>
    </w:p>
    <w:p w14:paraId="2D167DF1" w14:textId="77777777" w:rsidR="00504129" w:rsidRPr="00504129" w:rsidRDefault="00504129" w:rsidP="00504129">
      <w:pPr>
        <w:spacing w:line="240" w:lineRule="auto"/>
        <w:ind w:firstLine="284"/>
        <w:jc w:val="both"/>
        <w:rPr>
          <w:rFonts w:ascii="Times New Roman" w:hAnsi="Times New Roman"/>
          <w:sz w:val="24"/>
          <w:szCs w:val="24"/>
        </w:rPr>
      </w:pPr>
    </w:p>
    <w:p w14:paraId="52EA620A" w14:textId="373973F7" w:rsidR="00504129" w:rsidRPr="00504129" w:rsidRDefault="00504129" w:rsidP="00504129">
      <w:pPr>
        <w:spacing w:line="240" w:lineRule="auto"/>
        <w:ind w:firstLine="284"/>
        <w:jc w:val="both"/>
        <w:rPr>
          <w:rFonts w:ascii="Times New Roman" w:hAnsi="Times New Roman"/>
          <w:sz w:val="24"/>
          <w:szCs w:val="24"/>
        </w:rPr>
      </w:pPr>
      <w:r w:rsidRPr="00504129">
        <w:rPr>
          <w:rFonts w:ascii="Times New Roman" w:hAnsi="Times New Roman"/>
          <w:sz w:val="24"/>
          <w:szCs w:val="24"/>
        </w:rPr>
        <w:t xml:space="preserve">En un mundo globalizado, la competitividad descansa en la innovación y la creatividad. Los contextos de cooperación favorecen la emergencia de la creatividad. </w:t>
      </w:r>
      <w:proofErr w:type="spellStart"/>
      <w:r w:rsidRPr="00504129">
        <w:rPr>
          <w:rFonts w:ascii="Times New Roman" w:hAnsi="Times New Roman"/>
          <w:sz w:val="24"/>
          <w:szCs w:val="24"/>
        </w:rPr>
        <w:t>Boisier</w:t>
      </w:r>
      <w:proofErr w:type="spellEnd"/>
      <w:r w:rsidRPr="00504129">
        <w:rPr>
          <w:rFonts w:ascii="Times New Roman" w:hAnsi="Times New Roman"/>
          <w:sz w:val="24"/>
          <w:szCs w:val="24"/>
        </w:rPr>
        <w:t xml:space="preserve"> </w:t>
      </w:r>
      <w:r w:rsidR="00DE44EC">
        <w:rPr>
          <w:rFonts w:ascii="Times New Roman" w:hAnsi="Times New Roman"/>
          <w:sz w:val="24"/>
          <w:szCs w:val="24"/>
        </w:rPr>
        <w:t xml:space="preserve">(2001) </w:t>
      </w:r>
      <w:r w:rsidRPr="00504129">
        <w:rPr>
          <w:rFonts w:ascii="Times New Roman" w:hAnsi="Times New Roman"/>
          <w:sz w:val="24"/>
          <w:szCs w:val="24"/>
        </w:rPr>
        <w:t xml:space="preserve">utiliza un neologismo para nombrar este proceso: </w:t>
      </w:r>
      <w:proofErr w:type="spellStart"/>
      <w:r w:rsidRPr="00504129">
        <w:rPr>
          <w:rFonts w:ascii="Times New Roman" w:hAnsi="Times New Roman"/>
          <w:sz w:val="24"/>
          <w:szCs w:val="24"/>
        </w:rPr>
        <w:t>coopetencia</w:t>
      </w:r>
      <w:proofErr w:type="spellEnd"/>
      <w:r w:rsidRPr="00504129">
        <w:rPr>
          <w:rFonts w:ascii="Times New Roman" w:hAnsi="Times New Roman"/>
          <w:sz w:val="24"/>
          <w:szCs w:val="24"/>
        </w:rPr>
        <w:t xml:space="preserve">. La cooperación requiere a su vez de las redes y conexiones que facilitan la gestión del conocimiento. Las redes se estructuran a partir de la articulación de actores que confluyen en torno a un problema territorial. </w:t>
      </w:r>
    </w:p>
    <w:p w14:paraId="04BFEB29" w14:textId="77777777" w:rsidR="00504129" w:rsidRPr="00504129" w:rsidRDefault="00504129" w:rsidP="00504129">
      <w:pPr>
        <w:spacing w:line="240" w:lineRule="auto"/>
        <w:ind w:firstLine="284"/>
        <w:jc w:val="both"/>
        <w:rPr>
          <w:rFonts w:ascii="Times New Roman" w:hAnsi="Times New Roman"/>
          <w:sz w:val="24"/>
          <w:szCs w:val="24"/>
        </w:rPr>
      </w:pPr>
    </w:p>
    <w:p w14:paraId="51AD28FC" w14:textId="5BB2C4BE" w:rsidR="00504129" w:rsidRPr="00504129" w:rsidRDefault="00504129" w:rsidP="00504129">
      <w:pPr>
        <w:spacing w:line="240" w:lineRule="auto"/>
        <w:ind w:firstLine="284"/>
        <w:jc w:val="both"/>
        <w:rPr>
          <w:rFonts w:ascii="Times New Roman" w:hAnsi="Times New Roman"/>
          <w:sz w:val="24"/>
          <w:szCs w:val="24"/>
        </w:rPr>
      </w:pPr>
      <w:r w:rsidRPr="00504129">
        <w:rPr>
          <w:rFonts w:ascii="Times New Roman" w:hAnsi="Times New Roman"/>
          <w:sz w:val="24"/>
          <w:szCs w:val="24"/>
        </w:rPr>
        <w:t xml:space="preserve">El conocimiento tácito está basado en la experiencia y las prácticas culturales y territoriales; es por eso que se hace fundamental la instalación de espacios de intercambio y de diálogo entre los diferentes actores, pues estos procesos hacen parte de su historia y de su capital cultural. En ese sentido, se hace necesario construir espacios para el intercambio de saberes que permitan el aprendizaje permanente. Esto configura lo que algunos autores denominan Regiones que aprenden. Se trata de regiones cuyas ventajas competitivas descansan precisamente en la creación de conocimiento soportadas en redes, destrezas y saberes territoriales. </w:t>
      </w:r>
    </w:p>
    <w:p w14:paraId="7B0A2203" w14:textId="77777777" w:rsidR="00504129" w:rsidRPr="00504129" w:rsidRDefault="00504129" w:rsidP="00504129">
      <w:pPr>
        <w:spacing w:line="240" w:lineRule="auto"/>
        <w:ind w:firstLine="284"/>
        <w:jc w:val="both"/>
        <w:rPr>
          <w:rFonts w:ascii="Times New Roman" w:hAnsi="Times New Roman"/>
          <w:sz w:val="24"/>
          <w:szCs w:val="24"/>
        </w:rPr>
      </w:pPr>
    </w:p>
    <w:p w14:paraId="4EC7BE75" w14:textId="6233AF96" w:rsidR="00504129" w:rsidRPr="00504129" w:rsidRDefault="00504129" w:rsidP="00504129">
      <w:pPr>
        <w:spacing w:line="240" w:lineRule="auto"/>
        <w:ind w:firstLine="284"/>
        <w:jc w:val="both"/>
        <w:rPr>
          <w:rFonts w:ascii="Times New Roman" w:hAnsi="Times New Roman"/>
          <w:sz w:val="24"/>
          <w:szCs w:val="24"/>
        </w:rPr>
      </w:pPr>
      <w:r w:rsidRPr="00504129">
        <w:rPr>
          <w:rFonts w:ascii="Times New Roman" w:hAnsi="Times New Roman"/>
          <w:sz w:val="24"/>
          <w:szCs w:val="24"/>
        </w:rPr>
        <w:t xml:space="preserve">Como lo indica </w:t>
      </w:r>
      <w:proofErr w:type="spellStart"/>
      <w:r w:rsidRPr="00504129">
        <w:rPr>
          <w:rFonts w:ascii="Times New Roman" w:hAnsi="Times New Roman"/>
          <w:sz w:val="24"/>
          <w:szCs w:val="24"/>
        </w:rPr>
        <w:t>Boisier</w:t>
      </w:r>
      <w:proofErr w:type="spellEnd"/>
      <w:r w:rsidR="00DE44EC">
        <w:rPr>
          <w:rFonts w:ascii="Times New Roman" w:hAnsi="Times New Roman"/>
          <w:sz w:val="24"/>
          <w:szCs w:val="24"/>
        </w:rPr>
        <w:t xml:space="preserve"> (2001)</w:t>
      </w:r>
      <w:r w:rsidRPr="00504129">
        <w:rPr>
          <w:rFonts w:ascii="Times New Roman" w:hAnsi="Times New Roman"/>
          <w:sz w:val="24"/>
          <w:szCs w:val="24"/>
        </w:rPr>
        <w:t xml:space="preserve">, las regiones que aprenden se basan en el flujo de conocimientos, lo cual requiere de una infraestructura que lo facilite. Para ello son importantes los denominados parques científicos y las incubadoras universitarias. </w:t>
      </w:r>
      <w:r w:rsidR="00AD1505">
        <w:rPr>
          <w:rFonts w:ascii="Times New Roman" w:hAnsi="Times New Roman"/>
          <w:sz w:val="24"/>
          <w:szCs w:val="24"/>
        </w:rPr>
        <w:t>L</w:t>
      </w:r>
      <w:r w:rsidRPr="00504129">
        <w:rPr>
          <w:rFonts w:ascii="Times New Roman" w:hAnsi="Times New Roman"/>
          <w:sz w:val="24"/>
          <w:szCs w:val="24"/>
        </w:rPr>
        <w:t xml:space="preserve">as universidades juegan un papel central en cuanto pueden convertirse en bisagras que facilitan la integración entre las comunidades territoriales, los gobiernos locales y nacionales y el sector privado. Las ventajas que trae la configuración de una región que aprende tiene que ver fundamentalmente con la resolución de conflictos, la experimentación con nuevos enfoques, el aprovechamiento de la experiencia y la práctica y la transmisión del conocimiento. </w:t>
      </w:r>
    </w:p>
    <w:p w14:paraId="5FE26199" w14:textId="77777777" w:rsidR="00504129" w:rsidRPr="00504129" w:rsidRDefault="00504129" w:rsidP="00504129">
      <w:pPr>
        <w:spacing w:line="240" w:lineRule="auto"/>
        <w:ind w:firstLine="284"/>
        <w:jc w:val="both"/>
        <w:rPr>
          <w:rFonts w:ascii="Times New Roman" w:hAnsi="Times New Roman"/>
          <w:sz w:val="24"/>
          <w:szCs w:val="24"/>
        </w:rPr>
      </w:pPr>
    </w:p>
    <w:p w14:paraId="589B1312" w14:textId="489CA082" w:rsidR="00C23036" w:rsidRPr="00C23036" w:rsidRDefault="00C23036" w:rsidP="00C23036">
      <w:pPr>
        <w:spacing w:line="240" w:lineRule="auto"/>
        <w:ind w:firstLine="284"/>
        <w:jc w:val="both"/>
        <w:rPr>
          <w:rFonts w:ascii="Times New Roman" w:hAnsi="Times New Roman"/>
          <w:sz w:val="24"/>
          <w:szCs w:val="24"/>
        </w:rPr>
      </w:pPr>
      <w:r w:rsidRPr="00C23036">
        <w:rPr>
          <w:rFonts w:ascii="Times New Roman" w:hAnsi="Times New Roman"/>
          <w:sz w:val="24"/>
          <w:szCs w:val="24"/>
        </w:rPr>
        <w:t xml:space="preserve">La sentencia </w:t>
      </w:r>
      <w:r w:rsidR="00A012C8">
        <w:rPr>
          <w:rFonts w:ascii="Times New Roman" w:hAnsi="Times New Roman"/>
          <w:sz w:val="24"/>
          <w:szCs w:val="24"/>
        </w:rPr>
        <w:t xml:space="preserve">T-622 </w:t>
      </w:r>
      <w:r w:rsidRPr="00C23036">
        <w:rPr>
          <w:rFonts w:ascii="Times New Roman" w:hAnsi="Times New Roman"/>
          <w:sz w:val="24"/>
          <w:szCs w:val="24"/>
        </w:rPr>
        <w:t xml:space="preserve">ha creado una figura que potencia la autonomía de las comunidades y </w:t>
      </w:r>
      <w:r w:rsidR="00D57C3B" w:rsidRPr="00C23036">
        <w:rPr>
          <w:rFonts w:ascii="Times New Roman" w:hAnsi="Times New Roman"/>
          <w:sz w:val="24"/>
          <w:szCs w:val="24"/>
        </w:rPr>
        <w:t>otorga responsabilidades</w:t>
      </w:r>
      <w:r w:rsidRPr="00C23036">
        <w:rPr>
          <w:rFonts w:ascii="Times New Roman" w:hAnsi="Times New Roman"/>
          <w:sz w:val="24"/>
          <w:szCs w:val="24"/>
        </w:rPr>
        <w:t xml:space="preserve"> al Estado, denominada “Guardianes del Atrato”. Dicha organización se materializa a través del Decreto 749 de 2017 en el que se designan al Ministerio de Medio Ambiente, como representante del Estado y a las comunidades, quienes conformaron el cuerpo colegiado denominado Comisión de Guardianes del Atrato, reconocida mediante la resolución 0907 de 2018. Los guardianes tienen como función representar al río Atrato y velar por el cumplimiento de la sentencia. Según </w:t>
      </w:r>
      <w:r w:rsidR="00A012C8">
        <w:rPr>
          <w:rFonts w:ascii="Times New Roman" w:hAnsi="Times New Roman"/>
          <w:sz w:val="24"/>
          <w:szCs w:val="24"/>
        </w:rPr>
        <w:t xml:space="preserve">se </w:t>
      </w:r>
      <w:r w:rsidRPr="00C23036">
        <w:rPr>
          <w:rFonts w:ascii="Times New Roman" w:hAnsi="Times New Roman"/>
          <w:sz w:val="24"/>
          <w:szCs w:val="24"/>
        </w:rPr>
        <w:t>indica, los guardianes pueden estar acompañados por un equipo asesor conformado por instituciones públicas o privadas, nacionales o internacionales, en el que se resaltan para el presente caso, las universidades y centros de investigación.</w:t>
      </w:r>
    </w:p>
    <w:p w14:paraId="503782AA" w14:textId="77777777" w:rsidR="00C23036" w:rsidRPr="00C23036" w:rsidRDefault="00C23036" w:rsidP="00C23036">
      <w:pPr>
        <w:spacing w:line="240" w:lineRule="auto"/>
        <w:ind w:firstLine="284"/>
        <w:jc w:val="both"/>
        <w:rPr>
          <w:rFonts w:ascii="Times New Roman" w:hAnsi="Times New Roman"/>
          <w:sz w:val="24"/>
          <w:szCs w:val="24"/>
        </w:rPr>
      </w:pPr>
    </w:p>
    <w:p w14:paraId="57D0130E" w14:textId="523D1D2C" w:rsidR="00C23036" w:rsidRDefault="00D57C3B" w:rsidP="00C23036">
      <w:pPr>
        <w:spacing w:line="240" w:lineRule="auto"/>
        <w:ind w:firstLine="284"/>
        <w:jc w:val="both"/>
        <w:rPr>
          <w:rFonts w:ascii="Times New Roman" w:hAnsi="Times New Roman"/>
          <w:sz w:val="24"/>
          <w:szCs w:val="24"/>
          <w:lang w:val="es-CO"/>
        </w:rPr>
      </w:pPr>
      <w:r>
        <w:rPr>
          <w:rFonts w:ascii="Times New Roman" w:hAnsi="Times New Roman"/>
          <w:sz w:val="24"/>
          <w:szCs w:val="24"/>
        </w:rPr>
        <w:t>En este marco surge la propuesta de creación del L</w:t>
      </w:r>
      <w:r w:rsidRPr="00D57C3B">
        <w:rPr>
          <w:rFonts w:ascii="Times New Roman" w:hAnsi="Times New Roman"/>
          <w:sz w:val="24"/>
          <w:szCs w:val="24"/>
        </w:rPr>
        <w:t xml:space="preserve">aboratorio social de estudios étnicos y ambientales del </w:t>
      </w:r>
      <w:r>
        <w:rPr>
          <w:rFonts w:ascii="Times New Roman" w:hAnsi="Times New Roman"/>
          <w:sz w:val="24"/>
          <w:szCs w:val="24"/>
        </w:rPr>
        <w:t>C</w:t>
      </w:r>
      <w:r w:rsidRPr="00D57C3B">
        <w:rPr>
          <w:rFonts w:ascii="Times New Roman" w:hAnsi="Times New Roman"/>
          <w:sz w:val="24"/>
          <w:szCs w:val="24"/>
        </w:rPr>
        <w:t xml:space="preserve">hocó. </w:t>
      </w:r>
      <w:r>
        <w:rPr>
          <w:rFonts w:ascii="Times New Roman" w:hAnsi="Times New Roman"/>
          <w:sz w:val="24"/>
          <w:szCs w:val="24"/>
        </w:rPr>
        <w:t>U</w:t>
      </w:r>
      <w:r w:rsidRPr="00D57C3B">
        <w:rPr>
          <w:rFonts w:ascii="Times New Roman" w:hAnsi="Times New Roman"/>
          <w:sz w:val="24"/>
          <w:szCs w:val="24"/>
        </w:rPr>
        <w:t>na propuesta para la gestión del conocimiento en el pacífico colombiano</w:t>
      </w:r>
      <w:r>
        <w:rPr>
          <w:rFonts w:ascii="Times New Roman" w:hAnsi="Times New Roman"/>
          <w:sz w:val="24"/>
          <w:szCs w:val="24"/>
        </w:rPr>
        <w:t xml:space="preserve">. La propuesta está liderada por la Territorial Chocó </w:t>
      </w:r>
      <w:r>
        <w:rPr>
          <w:rFonts w:ascii="Times New Roman" w:hAnsi="Times New Roman"/>
          <w:sz w:val="24"/>
          <w:szCs w:val="24"/>
          <w:lang w:val="es-CO"/>
        </w:rPr>
        <w:t>de la Escuela Superior de Administración Pública. Se considera que, la presencia regional de la ESAP y su doble filiación (como entidad Pública e institución Universitaria)</w:t>
      </w:r>
      <w:r w:rsidR="00AD1505">
        <w:rPr>
          <w:rFonts w:ascii="Times New Roman" w:hAnsi="Times New Roman"/>
          <w:sz w:val="24"/>
          <w:szCs w:val="24"/>
          <w:lang w:val="es-CO"/>
        </w:rPr>
        <w:t>,</w:t>
      </w:r>
      <w:r>
        <w:rPr>
          <w:rFonts w:ascii="Times New Roman" w:hAnsi="Times New Roman"/>
          <w:sz w:val="24"/>
          <w:szCs w:val="24"/>
          <w:lang w:val="es-CO"/>
        </w:rPr>
        <w:t xml:space="preserve"> contribuye a la articulación entre las entidades del Estado y las organizaciones comunitarias encargadas de proteger el Atrato. Por una parte </w:t>
      </w:r>
      <w:r>
        <w:rPr>
          <w:rFonts w:ascii="Times New Roman" w:hAnsi="Times New Roman"/>
          <w:sz w:val="24"/>
          <w:szCs w:val="24"/>
          <w:lang w:val="es-CO"/>
        </w:rPr>
        <w:t>busca</w:t>
      </w:r>
      <w:r>
        <w:rPr>
          <w:rFonts w:ascii="Times New Roman" w:hAnsi="Times New Roman"/>
          <w:sz w:val="24"/>
          <w:szCs w:val="24"/>
          <w:lang w:val="es-CO"/>
        </w:rPr>
        <w:t xml:space="preserve"> brindar asesoría técnica, por otra, contribuir a los procesos de investigación y sistematización de experiencias.</w:t>
      </w:r>
      <w:r>
        <w:rPr>
          <w:rFonts w:ascii="Times New Roman" w:hAnsi="Times New Roman"/>
          <w:sz w:val="24"/>
          <w:szCs w:val="24"/>
          <w:lang w:val="es-CO"/>
        </w:rPr>
        <w:t xml:space="preserve"> </w:t>
      </w:r>
    </w:p>
    <w:p w14:paraId="66CDEE96" w14:textId="77777777" w:rsidR="00D57C3B" w:rsidRDefault="00D57C3B" w:rsidP="00C23036">
      <w:pPr>
        <w:spacing w:line="240" w:lineRule="auto"/>
        <w:ind w:firstLine="284"/>
        <w:jc w:val="both"/>
        <w:rPr>
          <w:rFonts w:ascii="Times New Roman" w:hAnsi="Times New Roman"/>
          <w:sz w:val="24"/>
          <w:szCs w:val="24"/>
        </w:rPr>
      </w:pPr>
    </w:p>
    <w:p w14:paraId="6FD1907D" w14:textId="5C51FCE5"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3</w:t>
      </w:r>
      <w:r w:rsidRPr="00423E1C">
        <w:rPr>
          <w:rFonts w:ascii="Times New Roman" w:hAnsi="Times New Roman"/>
          <w:b/>
          <w:i/>
          <w:sz w:val="26"/>
          <w:szCs w:val="26"/>
        </w:rPr>
        <w:t xml:space="preserve">. </w:t>
      </w:r>
      <w:r>
        <w:rPr>
          <w:rFonts w:ascii="Times New Roman" w:hAnsi="Times New Roman"/>
          <w:b/>
          <w:i/>
          <w:sz w:val="26"/>
          <w:szCs w:val="26"/>
        </w:rPr>
        <w:t>D</w:t>
      </w:r>
      <w:r w:rsidRPr="002B7CA3">
        <w:rPr>
          <w:rFonts w:ascii="Times New Roman" w:hAnsi="Times New Roman"/>
          <w:b/>
          <w:i/>
          <w:sz w:val="26"/>
          <w:szCs w:val="26"/>
        </w:rPr>
        <w:t xml:space="preserve">esarrollo de la propuesta </w:t>
      </w:r>
    </w:p>
    <w:p w14:paraId="67EA0056" w14:textId="185067BE" w:rsidR="00A56198" w:rsidRPr="00A56198" w:rsidRDefault="00A56198" w:rsidP="00A56198">
      <w:pPr>
        <w:spacing w:line="240" w:lineRule="auto"/>
        <w:ind w:firstLine="284"/>
        <w:jc w:val="both"/>
        <w:rPr>
          <w:rFonts w:ascii="Times New Roman" w:hAnsi="Times New Roman"/>
          <w:sz w:val="24"/>
          <w:szCs w:val="24"/>
        </w:rPr>
      </w:pPr>
      <w:r w:rsidRPr="00A56198">
        <w:rPr>
          <w:rFonts w:ascii="Times New Roman" w:hAnsi="Times New Roman"/>
          <w:sz w:val="24"/>
          <w:szCs w:val="24"/>
        </w:rPr>
        <w:t xml:space="preserve">Los procesos de investigación y gestión del conocimiento en la territorial Chocó se </w:t>
      </w:r>
      <w:r>
        <w:rPr>
          <w:rFonts w:ascii="Times New Roman" w:hAnsi="Times New Roman"/>
          <w:sz w:val="24"/>
          <w:szCs w:val="24"/>
        </w:rPr>
        <w:t>organizan</w:t>
      </w:r>
      <w:r w:rsidRPr="00A56198">
        <w:rPr>
          <w:rFonts w:ascii="Times New Roman" w:hAnsi="Times New Roman"/>
          <w:sz w:val="24"/>
          <w:szCs w:val="24"/>
        </w:rPr>
        <w:t xml:space="preserve"> alrededor del estudio de las prácticas y discursos de la Administración Púbica con enfoque diferencial, étnico, intercultural y ambiental. Para ello </w:t>
      </w:r>
      <w:r>
        <w:rPr>
          <w:rFonts w:ascii="Times New Roman" w:hAnsi="Times New Roman"/>
          <w:sz w:val="24"/>
          <w:szCs w:val="24"/>
        </w:rPr>
        <w:t>se propone</w:t>
      </w:r>
      <w:r w:rsidRPr="00A56198">
        <w:rPr>
          <w:rFonts w:ascii="Times New Roman" w:hAnsi="Times New Roman"/>
          <w:sz w:val="24"/>
          <w:szCs w:val="24"/>
        </w:rPr>
        <w:t xml:space="preserve"> la construcción de un “Laboratorio </w:t>
      </w:r>
      <w:r>
        <w:rPr>
          <w:rFonts w:ascii="Times New Roman" w:hAnsi="Times New Roman"/>
          <w:sz w:val="24"/>
          <w:szCs w:val="24"/>
        </w:rPr>
        <w:t xml:space="preserve">social </w:t>
      </w:r>
      <w:r w:rsidRPr="00A56198">
        <w:rPr>
          <w:rFonts w:ascii="Times New Roman" w:hAnsi="Times New Roman"/>
          <w:sz w:val="24"/>
          <w:szCs w:val="24"/>
        </w:rPr>
        <w:t xml:space="preserve">de estudios </w:t>
      </w:r>
      <w:r>
        <w:rPr>
          <w:rFonts w:ascii="Times New Roman" w:hAnsi="Times New Roman"/>
          <w:sz w:val="24"/>
          <w:szCs w:val="24"/>
        </w:rPr>
        <w:t>étnicos y ambientales en el Chocó</w:t>
      </w:r>
      <w:r w:rsidRPr="00A56198">
        <w:rPr>
          <w:rFonts w:ascii="Times New Roman" w:hAnsi="Times New Roman"/>
          <w:sz w:val="24"/>
          <w:szCs w:val="24"/>
        </w:rPr>
        <w:t xml:space="preserve">” que se convertirá en núcleo para la identificación, el diseño, la implementación y evaluación de políticas públicas diferenciales e inclusivas. </w:t>
      </w:r>
    </w:p>
    <w:p w14:paraId="171BD3A3" w14:textId="77777777" w:rsidR="00A56198" w:rsidRPr="00A56198" w:rsidRDefault="00A56198" w:rsidP="00A56198">
      <w:pPr>
        <w:spacing w:line="240" w:lineRule="auto"/>
        <w:ind w:firstLine="284"/>
        <w:jc w:val="both"/>
        <w:rPr>
          <w:rFonts w:ascii="Times New Roman" w:hAnsi="Times New Roman"/>
          <w:sz w:val="24"/>
          <w:szCs w:val="24"/>
        </w:rPr>
      </w:pPr>
    </w:p>
    <w:p w14:paraId="2192D960" w14:textId="77777777" w:rsidR="00A56198" w:rsidRPr="00A56198" w:rsidRDefault="00A56198" w:rsidP="00A56198">
      <w:pPr>
        <w:spacing w:line="240" w:lineRule="auto"/>
        <w:ind w:firstLine="284"/>
        <w:jc w:val="both"/>
        <w:rPr>
          <w:rFonts w:ascii="Times New Roman" w:hAnsi="Times New Roman"/>
          <w:sz w:val="24"/>
          <w:szCs w:val="24"/>
        </w:rPr>
      </w:pPr>
      <w:r w:rsidRPr="00A56198">
        <w:rPr>
          <w:rFonts w:ascii="Times New Roman" w:hAnsi="Times New Roman"/>
          <w:sz w:val="24"/>
          <w:szCs w:val="24"/>
        </w:rPr>
        <w:t xml:space="preserve">Teniendo en cuenta la particularidad territorial del Chocó, el Laboratorio girará en torno a la exploración, observación, análisis y comprensión de las prácticas, relaciones y conflictos que las comunidades establecen alrededor del agua, fundamentalmente en el río Atrato y las cuencas hídricas que lo componen. En este sentido, el cuidado ambiental y la protección del agua se convierte en la médula a través de la cual se desarrollarán los estudios étnicos e interculturales. </w:t>
      </w:r>
    </w:p>
    <w:p w14:paraId="19AA0474" w14:textId="77777777" w:rsidR="00A56198" w:rsidRPr="00A56198" w:rsidRDefault="00A56198" w:rsidP="00A56198">
      <w:pPr>
        <w:spacing w:line="240" w:lineRule="auto"/>
        <w:ind w:firstLine="284"/>
        <w:jc w:val="both"/>
        <w:rPr>
          <w:rFonts w:ascii="Times New Roman" w:hAnsi="Times New Roman"/>
          <w:sz w:val="24"/>
          <w:szCs w:val="24"/>
        </w:rPr>
      </w:pPr>
    </w:p>
    <w:p w14:paraId="2A79A20B" w14:textId="60E67A5E" w:rsidR="00A56198" w:rsidRPr="00A56198" w:rsidRDefault="00AD1505" w:rsidP="00A56198">
      <w:pPr>
        <w:spacing w:line="240" w:lineRule="auto"/>
        <w:ind w:firstLine="284"/>
        <w:jc w:val="both"/>
        <w:rPr>
          <w:rFonts w:ascii="Times New Roman" w:hAnsi="Times New Roman"/>
          <w:sz w:val="24"/>
          <w:szCs w:val="24"/>
          <w:lang w:val="es-CO"/>
        </w:rPr>
      </w:pPr>
      <w:r>
        <w:rPr>
          <w:rFonts w:ascii="Times New Roman" w:hAnsi="Times New Roman"/>
          <w:sz w:val="24"/>
          <w:szCs w:val="24"/>
        </w:rPr>
        <w:t xml:space="preserve">La propuesta </w:t>
      </w:r>
      <w:r w:rsidR="00A56198" w:rsidRPr="00A56198">
        <w:rPr>
          <w:rFonts w:ascii="Times New Roman" w:hAnsi="Times New Roman"/>
          <w:sz w:val="24"/>
          <w:szCs w:val="24"/>
        </w:rPr>
        <w:t>está compuest</w:t>
      </w:r>
      <w:r>
        <w:rPr>
          <w:rFonts w:ascii="Times New Roman" w:hAnsi="Times New Roman"/>
          <w:sz w:val="24"/>
          <w:szCs w:val="24"/>
        </w:rPr>
        <w:t>a</w:t>
      </w:r>
      <w:r w:rsidR="00A56198" w:rsidRPr="00A56198">
        <w:rPr>
          <w:rFonts w:ascii="Times New Roman" w:hAnsi="Times New Roman"/>
          <w:sz w:val="24"/>
          <w:szCs w:val="24"/>
        </w:rPr>
        <w:t xml:space="preserve"> por cuatro planes: </w:t>
      </w:r>
      <w:r w:rsidR="00A56198">
        <w:rPr>
          <w:rFonts w:ascii="Times New Roman" w:hAnsi="Times New Roman"/>
          <w:sz w:val="24"/>
          <w:szCs w:val="24"/>
          <w:lang w:val="es-CO"/>
        </w:rPr>
        <w:t>i</w:t>
      </w:r>
      <w:r w:rsidR="00A56198">
        <w:rPr>
          <w:rFonts w:ascii="Times New Roman" w:hAnsi="Times New Roman"/>
          <w:sz w:val="24"/>
          <w:szCs w:val="24"/>
          <w:lang w:val="es-CO"/>
        </w:rPr>
        <w:t xml:space="preserve">nvestigación, diálogo de saberes, </w:t>
      </w:r>
      <w:r w:rsidR="00A56198">
        <w:rPr>
          <w:rFonts w:ascii="Times New Roman" w:hAnsi="Times New Roman"/>
          <w:sz w:val="24"/>
          <w:szCs w:val="24"/>
          <w:lang w:val="es-CO"/>
        </w:rPr>
        <w:t xml:space="preserve">consultoría </w:t>
      </w:r>
      <w:r w:rsidR="00A56198">
        <w:rPr>
          <w:rFonts w:ascii="Times New Roman" w:hAnsi="Times New Roman"/>
          <w:sz w:val="24"/>
          <w:szCs w:val="24"/>
          <w:lang w:val="es-CO"/>
        </w:rPr>
        <w:t xml:space="preserve">y constitución de redes académicas. </w:t>
      </w:r>
      <w:r w:rsidR="00A56198" w:rsidRPr="00A56198">
        <w:rPr>
          <w:rFonts w:ascii="Times New Roman" w:hAnsi="Times New Roman"/>
          <w:sz w:val="24"/>
          <w:szCs w:val="24"/>
        </w:rPr>
        <w:t xml:space="preserve">Estos giran alrededor del núcleo central de la propuesta: los estudios étnicos y el cuidado ambiental. </w:t>
      </w:r>
    </w:p>
    <w:p w14:paraId="5BA4728C" w14:textId="77777777" w:rsidR="00A56198" w:rsidRPr="00A56198" w:rsidRDefault="00A56198" w:rsidP="00A56198">
      <w:pPr>
        <w:spacing w:line="240" w:lineRule="auto"/>
        <w:ind w:firstLine="284"/>
        <w:jc w:val="both"/>
        <w:rPr>
          <w:rFonts w:ascii="Times New Roman" w:hAnsi="Times New Roman"/>
          <w:sz w:val="24"/>
          <w:szCs w:val="24"/>
          <w:lang w:val="es-CO"/>
        </w:rPr>
      </w:pPr>
    </w:p>
    <w:p w14:paraId="63CE43E4" w14:textId="265E6126" w:rsidR="00A56198" w:rsidRDefault="00A56198" w:rsidP="00A56198">
      <w:pPr>
        <w:spacing w:line="240" w:lineRule="auto"/>
        <w:ind w:firstLine="284"/>
        <w:jc w:val="both"/>
        <w:rPr>
          <w:rFonts w:ascii="Times New Roman" w:hAnsi="Times New Roman"/>
          <w:sz w:val="24"/>
          <w:szCs w:val="24"/>
        </w:rPr>
      </w:pPr>
      <w:r w:rsidRPr="00A56198">
        <w:rPr>
          <w:rFonts w:ascii="Times New Roman" w:hAnsi="Times New Roman"/>
          <w:sz w:val="24"/>
          <w:szCs w:val="24"/>
        </w:rPr>
        <w:t xml:space="preserve">El desarrollo de la investigación se </w:t>
      </w:r>
      <w:r>
        <w:rPr>
          <w:rFonts w:ascii="Times New Roman" w:hAnsi="Times New Roman"/>
          <w:sz w:val="24"/>
          <w:szCs w:val="24"/>
        </w:rPr>
        <w:t xml:space="preserve">realizará a partir de </w:t>
      </w:r>
      <w:r w:rsidRPr="00A56198">
        <w:rPr>
          <w:rFonts w:ascii="Times New Roman" w:hAnsi="Times New Roman"/>
          <w:sz w:val="24"/>
          <w:szCs w:val="24"/>
        </w:rPr>
        <w:t xml:space="preserve">cinco </w:t>
      </w:r>
      <w:r w:rsidR="00AD1505">
        <w:rPr>
          <w:rFonts w:ascii="Times New Roman" w:hAnsi="Times New Roman"/>
          <w:sz w:val="24"/>
          <w:szCs w:val="24"/>
        </w:rPr>
        <w:t>acciones:</w:t>
      </w:r>
      <w:r>
        <w:rPr>
          <w:rFonts w:ascii="Times New Roman" w:hAnsi="Times New Roman"/>
          <w:sz w:val="24"/>
          <w:szCs w:val="24"/>
        </w:rPr>
        <w:t xml:space="preserve"> </w:t>
      </w:r>
      <w:r w:rsidRPr="00A56198">
        <w:rPr>
          <w:rFonts w:ascii="Times New Roman" w:hAnsi="Times New Roman"/>
          <w:sz w:val="24"/>
          <w:szCs w:val="24"/>
        </w:rPr>
        <w:t xml:space="preserve">conformación de un equipo </w:t>
      </w:r>
      <w:r>
        <w:rPr>
          <w:rFonts w:ascii="Times New Roman" w:hAnsi="Times New Roman"/>
          <w:sz w:val="24"/>
          <w:szCs w:val="24"/>
        </w:rPr>
        <w:t xml:space="preserve">cualificado </w:t>
      </w:r>
      <w:r w:rsidRPr="00A56198">
        <w:rPr>
          <w:rFonts w:ascii="Times New Roman" w:hAnsi="Times New Roman"/>
          <w:sz w:val="24"/>
          <w:szCs w:val="24"/>
        </w:rPr>
        <w:t xml:space="preserve">de investigadores que </w:t>
      </w:r>
      <w:r>
        <w:rPr>
          <w:rFonts w:ascii="Times New Roman" w:hAnsi="Times New Roman"/>
          <w:sz w:val="24"/>
          <w:szCs w:val="24"/>
        </w:rPr>
        <w:t>participarán en la</w:t>
      </w:r>
      <w:r w:rsidRPr="00A56198">
        <w:rPr>
          <w:rFonts w:ascii="Times New Roman" w:hAnsi="Times New Roman"/>
          <w:sz w:val="24"/>
          <w:szCs w:val="24"/>
        </w:rPr>
        <w:t xml:space="preserve"> ejecu</w:t>
      </w:r>
      <w:r>
        <w:rPr>
          <w:rFonts w:ascii="Times New Roman" w:hAnsi="Times New Roman"/>
          <w:sz w:val="24"/>
          <w:szCs w:val="24"/>
        </w:rPr>
        <w:t>ción de</w:t>
      </w:r>
      <w:r w:rsidRPr="00A56198">
        <w:rPr>
          <w:rFonts w:ascii="Times New Roman" w:hAnsi="Times New Roman"/>
          <w:sz w:val="24"/>
          <w:szCs w:val="24"/>
        </w:rPr>
        <w:t xml:space="preserve"> los distintos proyectos de investigación que se formulen.</w:t>
      </w:r>
      <w:r>
        <w:rPr>
          <w:rFonts w:ascii="Times New Roman" w:hAnsi="Times New Roman"/>
          <w:sz w:val="24"/>
          <w:szCs w:val="24"/>
        </w:rPr>
        <w:t xml:space="preserve"> Participación en convocatorias de investigación y de sistematización de experiencias en el Chocó. Participación en eventos académicos nacionales e internacionales para realizar procesos de difusión de resultados. Publicación de artículos de investigación sobre los hallazgos de las investigaciones desarrolladas. Participación en procesos de sistematización de experiencias con distintas organizaciones de la región.</w:t>
      </w:r>
    </w:p>
    <w:p w14:paraId="1B5B6A9D" w14:textId="77777777" w:rsidR="00A56198" w:rsidRDefault="00A56198" w:rsidP="00A56198">
      <w:pPr>
        <w:spacing w:line="240" w:lineRule="auto"/>
        <w:ind w:firstLine="284"/>
        <w:jc w:val="both"/>
        <w:rPr>
          <w:rFonts w:ascii="Times New Roman" w:hAnsi="Times New Roman"/>
          <w:sz w:val="24"/>
          <w:szCs w:val="24"/>
        </w:rPr>
      </w:pPr>
    </w:p>
    <w:p w14:paraId="023111EC" w14:textId="2A4E65CF" w:rsidR="00A56198" w:rsidRDefault="00A56198" w:rsidP="00A56198">
      <w:pPr>
        <w:spacing w:line="240" w:lineRule="auto"/>
        <w:ind w:firstLine="284"/>
        <w:jc w:val="both"/>
        <w:rPr>
          <w:rFonts w:ascii="Times New Roman" w:hAnsi="Times New Roman"/>
          <w:sz w:val="24"/>
          <w:szCs w:val="24"/>
        </w:rPr>
      </w:pPr>
      <w:r>
        <w:rPr>
          <w:rFonts w:ascii="Times New Roman" w:hAnsi="Times New Roman"/>
          <w:sz w:val="24"/>
          <w:szCs w:val="24"/>
        </w:rPr>
        <w:t>Los procesos de diálogo de saberes se desarrollarán a partir de 5 acciones fundamentales:</w:t>
      </w:r>
      <w:r w:rsidRPr="00A56198">
        <w:rPr>
          <w:rFonts w:ascii="Times New Roman" w:hAnsi="Times New Roman"/>
          <w:sz w:val="24"/>
          <w:szCs w:val="24"/>
        </w:rPr>
        <w:t xml:space="preserve"> </w:t>
      </w:r>
      <w:r>
        <w:rPr>
          <w:rFonts w:ascii="Times New Roman" w:hAnsi="Times New Roman"/>
          <w:sz w:val="24"/>
          <w:szCs w:val="24"/>
        </w:rPr>
        <w:t>c</w:t>
      </w:r>
      <w:r w:rsidRPr="00A56198">
        <w:rPr>
          <w:rFonts w:ascii="Times New Roman" w:hAnsi="Times New Roman"/>
          <w:sz w:val="24"/>
          <w:szCs w:val="24"/>
        </w:rPr>
        <w:t xml:space="preserve">onstrucción de semilleros de investigación, </w:t>
      </w:r>
      <w:r w:rsidR="00AD1505">
        <w:rPr>
          <w:rFonts w:ascii="Times New Roman" w:hAnsi="Times New Roman"/>
          <w:sz w:val="24"/>
          <w:szCs w:val="24"/>
        </w:rPr>
        <w:t>seguimiento</w:t>
      </w:r>
      <w:r w:rsidRPr="00A56198">
        <w:rPr>
          <w:rFonts w:ascii="Times New Roman" w:hAnsi="Times New Roman"/>
          <w:sz w:val="24"/>
          <w:szCs w:val="24"/>
        </w:rPr>
        <w:t xml:space="preserve"> de </w:t>
      </w:r>
      <w:r w:rsidR="00504129">
        <w:rPr>
          <w:rFonts w:ascii="Times New Roman" w:hAnsi="Times New Roman"/>
          <w:sz w:val="24"/>
          <w:szCs w:val="24"/>
        </w:rPr>
        <w:t>las acciones derivadas de la sentencia T-622;</w:t>
      </w:r>
      <w:r w:rsidRPr="00A56198">
        <w:rPr>
          <w:rFonts w:ascii="Times New Roman" w:hAnsi="Times New Roman"/>
          <w:sz w:val="24"/>
          <w:szCs w:val="24"/>
        </w:rPr>
        <w:t xml:space="preserve"> </w:t>
      </w:r>
      <w:r w:rsidR="00504129">
        <w:rPr>
          <w:rFonts w:ascii="Times New Roman" w:hAnsi="Times New Roman"/>
          <w:sz w:val="24"/>
          <w:szCs w:val="24"/>
        </w:rPr>
        <w:t>formulación</w:t>
      </w:r>
      <w:r w:rsidRPr="00A56198">
        <w:rPr>
          <w:rFonts w:ascii="Times New Roman" w:hAnsi="Times New Roman"/>
          <w:sz w:val="24"/>
          <w:szCs w:val="24"/>
        </w:rPr>
        <w:t xml:space="preserve"> de cursos </w:t>
      </w:r>
      <w:r w:rsidR="00504129">
        <w:rPr>
          <w:rFonts w:ascii="Times New Roman" w:hAnsi="Times New Roman"/>
          <w:sz w:val="24"/>
          <w:szCs w:val="24"/>
        </w:rPr>
        <w:t xml:space="preserve">sobre </w:t>
      </w:r>
      <w:r w:rsidR="00AD1505">
        <w:rPr>
          <w:rFonts w:ascii="Times New Roman" w:hAnsi="Times New Roman"/>
          <w:sz w:val="24"/>
          <w:szCs w:val="24"/>
        </w:rPr>
        <w:t>cuidado ambiental</w:t>
      </w:r>
      <w:r w:rsidR="00504129">
        <w:rPr>
          <w:rFonts w:ascii="Times New Roman" w:hAnsi="Times New Roman"/>
          <w:sz w:val="24"/>
          <w:szCs w:val="24"/>
        </w:rPr>
        <w:t xml:space="preserve">, culturas ancestrales y saberes propios; </w:t>
      </w:r>
      <w:r w:rsidRPr="00A56198">
        <w:rPr>
          <w:rFonts w:ascii="Times New Roman" w:hAnsi="Times New Roman"/>
          <w:sz w:val="24"/>
          <w:szCs w:val="24"/>
        </w:rPr>
        <w:t xml:space="preserve">construcción de Cátedra abierta sobre saberes y experiencias en torno al cuidado </w:t>
      </w:r>
      <w:r w:rsidRPr="00A56198">
        <w:rPr>
          <w:rFonts w:ascii="Times New Roman" w:hAnsi="Times New Roman"/>
          <w:sz w:val="24"/>
          <w:szCs w:val="24"/>
        </w:rPr>
        <w:lastRenderedPageBreak/>
        <w:t>ambiental y la protección del agua</w:t>
      </w:r>
      <w:r w:rsidR="00504129">
        <w:rPr>
          <w:rFonts w:ascii="Times New Roman" w:hAnsi="Times New Roman"/>
          <w:sz w:val="24"/>
          <w:szCs w:val="24"/>
        </w:rPr>
        <w:t>;</w:t>
      </w:r>
      <w:r w:rsidRPr="00A56198">
        <w:rPr>
          <w:rFonts w:ascii="Times New Roman" w:hAnsi="Times New Roman"/>
          <w:sz w:val="24"/>
          <w:szCs w:val="24"/>
        </w:rPr>
        <w:t xml:space="preserve"> conformación de nodos de saber </w:t>
      </w:r>
      <w:r w:rsidR="00504129">
        <w:rPr>
          <w:rFonts w:ascii="Times New Roman" w:hAnsi="Times New Roman"/>
          <w:sz w:val="24"/>
          <w:szCs w:val="24"/>
        </w:rPr>
        <w:t>con organizaciones sociales en los territorios.</w:t>
      </w:r>
    </w:p>
    <w:p w14:paraId="2E3FC182" w14:textId="77777777" w:rsidR="00504129" w:rsidRDefault="00504129" w:rsidP="00A56198">
      <w:pPr>
        <w:spacing w:line="240" w:lineRule="auto"/>
        <w:ind w:firstLine="284"/>
        <w:jc w:val="both"/>
        <w:rPr>
          <w:rFonts w:ascii="Times New Roman" w:hAnsi="Times New Roman"/>
          <w:sz w:val="24"/>
          <w:szCs w:val="24"/>
        </w:rPr>
      </w:pPr>
    </w:p>
    <w:p w14:paraId="4C590AC7" w14:textId="1CA48B65" w:rsidR="00A56198" w:rsidRDefault="00504129" w:rsidP="00A56198">
      <w:pPr>
        <w:spacing w:line="240" w:lineRule="auto"/>
        <w:ind w:firstLine="284"/>
        <w:jc w:val="both"/>
        <w:rPr>
          <w:rFonts w:ascii="Times New Roman" w:hAnsi="Times New Roman"/>
          <w:sz w:val="24"/>
          <w:szCs w:val="24"/>
        </w:rPr>
      </w:pPr>
      <w:r w:rsidRPr="00504129">
        <w:rPr>
          <w:rFonts w:ascii="Times New Roman" w:hAnsi="Times New Roman"/>
          <w:sz w:val="24"/>
          <w:szCs w:val="24"/>
        </w:rPr>
        <w:t xml:space="preserve">El proceso de </w:t>
      </w:r>
      <w:r>
        <w:rPr>
          <w:rFonts w:ascii="Times New Roman" w:hAnsi="Times New Roman"/>
          <w:sz w:val="24"/>
          <w:szCs w:val="24"/>
        </w:rPr>
        <w:t>consultoría busca fortalecer los procesos de</w:t>
      </w:r>
      <w:r w:rsidRPr="00504129">
        <w:rPr>
          <w:rFonts w:ascii="Times New Roman" w:hAnsi="Times New Roman"/>
          <w:sz w:val="24"/>
          <w:szCs w:val="24"/>
        </w:rPr>
        <w:t xml:space="preserve"> </w:t>
      </w:r>
      <w:r>
        <w:rPr>
          <w:rFonts w:ascii="Times New Roman" w:hAnsi="Times New Roman"/>
          <w:sz w:val="24"/>
          <w:szCs w:val="24"/>
        </w:rPr>
        <w:t>a</w:t>
      </w:r>
      <w:r w:rsidRPr="00504129">
        <w:rPr>
          <w:rFonts w:ascii="Times New Roman" w:hAnsi="Times New Roman"/>
          <w:sz w:val="24"/>
          <w:szCs w:val="24"/>
        </w:rPr>
        <w:t xml:space="preserve">rmonización intergubernamental a partir del establecimiento de convenios con </w:t>
      </w:r>
      <w:r>
        <w:rPr>
          <w:rFonts w:ascii="Times New Roman" w:hAnsi="Times New Roman"/>
          <w:sz w:val="24"/>
          <w:szCs w:val="24"/>
        </w:rPr>
        <w:t xml:space="preserve">las </w:t>
      </w:r>
      <w:r w:rsidRPr="00504129">
        <w:rPr>
          <w:rFonts w:ascii="Times New Roman" w:hAnsi="Times New Roman"/>
          <w:sz w:val="24"/>
          <w:szCs w:val="24"/>
        </w:rPr>
        <w:t xml:space="preserve">distintas instancias gubernamentales relacionadas </w:t>
      </w:r>
      <w:r>
        <w:rPr>
          <w:rFonts w:ascii="Times New Roman" w:hAnsi="Times New Roman"/>
          <w:sz w:val="24"/>
          <w:szCs w:val="24"/>
        </w:rPr>
        <w:t>en la sentencia T-622</w:t>
      </w:r>
      <w:r w:rsidRPr="00504129">
        <w:rPr>
          <w:rFonts w:ascii="Times New Roman" w:hAnsi="Times New Roman"/>
          <w:sz w:val="24"/>
          <w:szCs w:val="24"/>
        </w:rPr>
        <w:t xml:space="preserve">; </w:t>
      </w:r>
      <w:r>
        <w:rPr>
          <w:rFonts w:ascii="Times New Roman" w:hAnsi="Times New Roman"/>
          <w:sz w:val="24"/>
          <w:szCs w:val="24"/>
        </w:rPr>
        <w:t>d</w:t>
      </w:r>
      <w:r w:rsidRPr="00504129">
        <w:rPr>
          <w:rFonts w:ascii="Times New Roman" w:hAnsi="Times New Roman"/>
          <w:sz w:val="24"/>
          <w:szCs w:val="24"/>
        </w:rPr>
        <w:t xml:space="preserve">esarrollo </w:t>
      </w:r>
      <w:r>
        <w:rPr>
          <w:rFonts w:ascii="Times New Roman" w:hAnsi="Times New Roman"/>
          <w:sz w:val="24"/>
          <w:szCs w:val="24"/>
        </w:rPr>
        <w:t>de</w:t>
      </w:r>
      <w:r w:rsidRPr="00504129">
        <w:rPr>
          <w:rFonts w:ascii="Times New Roman" w:hAnsi="Times New Roman"/>
          <w:sz w:val="24"/>
          <w:szCs w:val="24"/>
        </w:rPr>
        <w:t xml:space="preserve"> consultorías especializadas </w:t>
      </w:r>
      <w:r>
        <w:rPr>
          <w:rFonts w:ascii="Times New Roman" w:hAnsi="Times New Roman"/>
          <w:sz w:val="24"/>
          <w:szCs w:val="24"/>
        </w:rPr>
        <w:t>sobre temas de Administración Pública con enfoque</w:t>
      </w:r>
      <w:r w:rsidRPr="00504129">
        <w:rPr>
          <w:rFonts w:ascii="Times New Roman" w:hAnsi="Times New Roman"/>
          <w:sz w:val="24"/>
          <w:szCs w:val="24"/>
        </w:rPr>
        <w:t xml:space="preserve"> étnico y ambiental. Agenciamientos en la sociedad de la información y del conocimiento a partir de la vinculación con redes académicas internacionales afines a los estudios afrodescendientes, étnicos y ambientales.</w:t>
      </w:r>
    </w:p>
    <w:p w14:paraId="21DB30A0" w14:textId="41B2C3DC" w:rsidR="00504129" w:rsidRDefault="00504129" w:rsidP="00A56198">
      <w:pPr>
        <w:spacing w:line="240" w:lineRule="auto"/>
        <w:ind w:firstLine="284"/>
        <w:jc w:val="both"/>
        <w:rPr>
          <w:rFonts w:ascii="Times New Roman" w:hAnsi="Times New Roman"/>
          <w:sz w:val="24"/>
          <w:szCs w:val="24"/>
        </w:rPr>
      </w:pPr>
    </w:p>
    <w:p w14:paraId="0210973B" w14:textId="45C96181" w:rsidR="00504129" w:rsidRPr="00A56198" w:rsidRDefault="00504129" w:rsidP="00A56198">
      <w:pPr>
        <w:spacing w:line="240" w:lineRule="auto"/>
        <w:ind w:firstLine="284"/>
        <w:jc w:val="both"/>
        <w:rPr>
          <w:rFonts w:ascii="Times New Roman" w:hAnsi="Times New Roman"/>
          <w:sz w:val="24"/>
          <w:szCs w:val="24"/>
        </w:rPr>
      </w:pPr>
      <w:r>
        <w:rPr>
          <w:rFonts w:ascii="Times New Roman" w:hAnsi="Times New Roman"/>
          <w:sz w:val="24"/>
          <w:szCs w:val="24"/>
        </w:rPr>
        <w:t>Finalmente, el proceso de constitución de redes busca</w:t>
      </w:r>
      <w:r w:rsidRPr="00504129">
        <w:rPr>
          <w:rFonts w:ascii="Times New Roman" w:hAnsi="Times New Roman"/>
          <w:sz w:val="24"/>
          <w:szCs w:val="24"/>
        </w:rPr>
        <w:t xml:space="preserve"> configurar comunidades de aprendizaje en colaboración con universidades nacionales e internacionales y participar en grupos de trabajo sobre estudio y formulación de políticas públicas con enfoque diferencial. Para este efecto se proponen cuatro acciones fundamentales: mapeo y vinculación a redes internacionales afines; participación en eventos internacionales afines al estudio de temas étnicos, interculturales y ambientales; participa</w:t>
      </w:r>
      <w:r>
        <w:rPr>
          <w:rFonts w:ascii="Times New Roman" w:hAnsi="Times New Roman"/>
          <w:sz w:val="24"/>
          <w:szCs w:val="24"/>
        </w:rPr>
        <w:t xml:space="preserve">ción </w:t>
      </w:r>
      <w:r w:rsidRPr="00504129">
        <w:rPr>
          <w:rFonts w:ascii="Times New Roman" w:hAnsi="Times New Roman"/>
          <w:sz w:val="24"/>
          <w:szCs w:val="24"/>
        </w:rPr>
        <w:t>de convocatorias de investigación y consultoría de agencias internacionales e instancias multilaterales; organiza</w:t>
      </w:r>
      <w:r>
        <w:rPr>
          <w:rFonts w:ascii="Times New Roman" w:hAnsi="Times New Roman"/>
          <w:sz w:val="24"/>
          <w:szCs w:val="24"/>
        </w:rPr>
        <w:t>ción de</w:t>
      </w:r>
      <w:r w:rsidRPr="00504129">
        <w:rPr>
          <w:rFonts w:ascii="Times New Roman" w:hAnsi="Times New Roman"/>
          <w:sz w:val="24"/>
          <w:szCs w:val="24"/>
        </w:rPr>
        <w:t xml:space="preserve"> eventos internacionales sobre políticas públicas con enfoques diferenciales, estudios étnicos y afrodescendientes, problemáticas ambientales y conflictos sociales.</w:t>
      </w:r>
    </w:p>
    <w:p w14:paraId="0CEE9574" w14:textId="77777777" w:rsidR="00D57C3B" w:rsidRDefault="00D57C3B" w:rsidP="002B7CA3">
      <w:pPr>
        <w:spacing w:line="240" w:lineRule="auto"/>
        <w:ind w:firstLine="284"/>
        <w:jc w:val="both"/>
        <w:rPr>
          <w:rFonts w:ascii="Times New Roman" w:hAnsi="Times New Roman"/>
          <w:sz w:val="24"/>
          <w:szCs w:val="24"/>
        </w:rPr>
      </w:pPr>
    </w:p>
    <w:p w14:paraId="30D33E98" w14:textId="505FD560"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4</w:t>
      </w:r>
      <w:r w:rsidRPr="00423E1C">
        <w:rPr>
          <w:rFonts w:ascii="Times New Roman" w:hAnsi="Times New Roman"/>
          <w:b/>
          <w:i/>
          <w:sz w:val="26"/>
          <w:szCs w:val="26"/>
        </w:rPr>
        <w:t xml:space="preserve">. </w:t>
      </w:r>
      <w:r>
        <w:rPr>
          <w:rFonts w:ascii="Times New Roman" w:hAnsi="Times New Roman"/>
          <w:b/>
          <w:i/>
          <w:sz w:val="26"/>
          <w:szCs w:val="26"/>
        </w:rPr>
        <w:t>R</w:t>
      </w:r>
      <w:r w:rsidRPr="002B7CA3">
        <w:rPr>
          <w:rFonts w:ascii="Times New Roman" w:hAnsi="Times New Roman"/>
          <w:b/>
          <w:i/>
          <w:sz w:val="26"/>
          <w:szCs w:val="26"/>
        </w:rPr>
        <w:t xml:space="preserve">esultados </w:t>
      </w:r>
    </w:p>
    <w:p w14:paraId="4A40E1E2" w14:textId="00ABFBF8" w:rsidR="002B7CA3" w:rsidRDefault="00D57C3B" w:rsidP="002B7CA3">
      <w:pPr>
        <w:spacing w:line="240" w:lineRule="auto"/>
        <w:ind w:firstLine="284"/>
        <w:jc w:val="both"/>
        <w:rPr>
          <w:rFonts w:ascii="Times New Roman" w:hAnsi="Times New Roman"/>
          <w:sz w:val="24"/>
          <w:szCs w:val="24"/>
        </w:rPr>
      </w:pPr>
      <w:r>
        <w:rPr>
          <w:rFonts w:ascii="Times New Roman" w:hAnsi="Times New Roman"/>
          <w:sz w:val="24"/>
          <w:szCs w:val="24"/>
        </w:rPr>
        <w:t xml:space="preserve">Actualmente la propuesta se encuentra en fase de construcción por lo que aún no presenta resultados derivados de su desarrollo. Pueden mencionarse como resultados parciales los contactos iniciales con distintas organizaciones sociales del Chocó; así como la participación en la Red Universitaria de Emprendimiento RENUNE </w:t>
      </w:r>
      <w:proofErr w:type="spellStart"/>
      <w:r w:rsidRPr="00D57C3B">
        <w:rPr>
          <w:rFonts w:ascii="Times New Roman" w:hAnsi="Times New Roman"/>
          <w:sz w:val="24"/>
          <w:szCs w:val="24"/>
        </w:rPr>
        <w:t>reada</w:t>
      </w:r>
      <w:proofErr w:type="spellEnd"/>
      <w:r w:rsidRPr="00D57C3B">
        <w:rPr>
          <w:rFonts w:ascii="Times New Roman" w:hAnsi="Times New Roman"/>
          <w:sz w:val="24"/>
          <w:szCs w:val="24"/>
        </w:rPr>
        <w:t xml:space="preserve"> por la Asociación Colombiana de Universidades “ASCUN</w:t>
      </w:r>
      <w:r w:rsidR="00A56198">
        <w:rPr>
          <w:rFonts w:ascii="Times New Roman" w:hAnsi="Times New Roman"/>
          <w:sz w:val="24"/>
          <w:szCs w:val="24"/>
        </w:rPr>
        <w:t xml:space="preserve">, y de la cual hacen parte </w:t>
      </w:r>
      <w:r w:rsidR="00A56198" w:rsidRPr="00A56198">
        <w:rPr>
          <w:rFonts w:ascii="Times New Roman" w:hAnsi="Times New Roman"/>
          <w:sz w:val="24"/>
          <w:szCs w:val="24"/>
        </w:rPr>
        <w:t>como la UTCH, el CCVA Quibdó de la UNAD, UNICLARETIANA Y UNIREMINTONG.</w:t>
      </w:r>
      <w:r w:rsidR="00A56198">
        <w:rPr>
          <w:rFonts w:ascii="Times New Roman" w:hAnsi="Times New Roman"/>
          <w:sz w:val="24"/>
          <w:szCs w:val="24"/>
        </w:rPr>
        <w:t xml:space="preserve"> </w:t>
      </w:r>
    </w:p>
    <w:p w14:paraId="60EE0168" w14:textId="6857CF09" w:rsidR="00A56198" w:rsidRDefault="00A56198" w:rsidP="002B7CA3">
      <w:pPr>
        <w:spacing w:line="240" w:lineRule="auto"/>
        <w:ind w:firstLine="284"/>
        <w:jc w:val="both"/>
        <w:rPr>
          <w:rFonts w:ascii="Times New Roman" w:hAnsi="Times New Roman"/>
          <w:sz w:val="24"/>
          <w:szCs w:val="24"/>
        </w:rPr>
      </w:pPr>
      <w:r>
        <w:rPr>
          <w:rFonts w:ascii="Times New Roman" w:hAnsi="Times New Roman"/>
          <w:sz w:val="24"/>
          <w:szCs w:val="24"/>
        </w:rPr>
        <w:t xml:space="preserve">Además de esto, se ha participado en convocatorias realizadas por el Departamento Administrativo de la Función Pública, entidad de la cual hace parte la ESAP, para proponer distintas estrategias que permitan acercar la Función Pública a los territorios y las comunidades. </w:t>
      </w:r>
    </w:p>
    <w:p w14:paraId="40CEA0F5" w14:textId="77777777" w:rsidR="00A56198" w:rsidRDefault="00A56198" w:rsidP="00BB5412">
      <w:pPr>
        <w:spacing w:line="240" w:lineRule="auto"/>
        <w:jc w:val="both"/>
        <w:rPr>
          <w:rFonts w:ascii="Times New Roman" w:hAnsi="Times New Roman"/>
          <w:b/>
          <w:i/>
          <w:sz w:val="26"/>
          <w:szCs w:val="26"/>
        </w:rPr>
      </w:pPr>
    </w:p>
    <w:p w14:paraId="772DD148" w14:textId="0789AB34" w:rsidR="00BB5412" w:rsidRPr="00BB5412" w:rsidRDefault="00BB5412" w:rsidP="00BB5412">
      <w:pPr>
        <w:spacing w:line="240" w:lineRule="auto"/>
        <w:jc w:val="both"/>
        <w:rPr>
          <w:rFonts w:ascii="Times New Roman" w:hAnsi="Times New Roman"/>
          <w:b/>
          <w:sz w:val="24"/>
          <w:szCs w:val="24"/>
        </w:rPr>
      </w:pPr>
      <w:r w:rsidRPr="00BB5412">
        <w:rPr>
          <w:rFonts w:ascii="Times New Roman" w:hAnsi="Times New Roman"/>
          <w:b/>
          <w:sz w:val="24"/>
          <w:szCs w:val="24"/>
        </w:rPr>
        <w:t xml:space="preserve">REFERENCIAS </w:t>
      </w:r>
    </w:p>
    <w:p w14:paraId="41223D72" w14:textId="14337B27" w:rsidR="00001A27" w:rsidRDefault="00001A27" w:rsidP="00001A27">
      <w:pPr>
        <w:spacing w:line="240" w:lineRule="auto"/>
        <w:ind w:left="709" w:hanging="709"/>
        <w:jc w:val="both"/>
        <w:rPr>
          <w:rFonts w:ascii="Times New Roman" w:hAnsi="Times New Roman"/>
          <w:sz w:val="24"/>
          <w:szCs w:val="24"/>
          <w:lang w:val="es-CO"/>
        </w:rPr>
      </w:pPr>
      <w:proofErr w:type="spellStart"/>
      <w:r w:rsidRPr="00001A27">
        <w:rPr>
          <w:rFonts w:ascii="Times New Roman" w:hAnsi="Times New Roman"/>
          <w:sz w:val="24"/>
          <w:szCs w:val="24"/>
          <w:lang w:val="es-CO"/>
        </w:rPr>
        <w:t>Boisier</w:t>
      </w:r>
      <w:proofErr w:type="spellEnd"/>
      <w:r w:rsidRPr="00001A27">
        <w:rPr>
          <w:rFonts w:ascii="Times New Roman" w:hAnsi="Times New Roman"/>
          <w:sz w:val="24"/>
          <w:szCs w:val="24"/>
          <w:lang w:val="es-CO"/>
        </w:rPr>
        <w:t xml:space="preserve">, S. (2001). </w:t>
      </w:r>
      <w:r w:rsidRPr="00DE44EC">
        <w:rPr>
          <w:rFonts w:ascii="Times New Roman" w:hAnsi="Times New Roman"/>
          <w:sz w:val="24"/>
          <w:szCs w:val="24"/>
          <w:lang w:val="es-CO"/>
        </w:rPr>
        <w:t>Sociedad del conocimiento, conocimiento social y gestión territorial</w:t>
      </w:r>
      <w:r w:rsidRPr="00001A27">
        <w:rPr>
          <w:rFonts w:ascii="Times New Roman" w:hAnsi="Times New Roman"/>
          <w:i/>
          <w:iCs/>
          <w:sz w:val="24"/>
          <w:szCs w:val="24"/>
          <w:lang w:val="es-CO"/>
        </w:rPr>
        <w:t>.</w:t>
      </w:r>
      <w:r w:rsidR="00DE44EC">
        <w:rPr>
          <w:rFonts w:ascii="Times New Roman" w:hAnsi="Times New Roman"/>
          <w:i/>
          <w:iCs/>
          <w:sz w:val="24"/>
          <w:szCs w:val="24"/>
          <w:lang w:val="es-CO"/>
        </w:rPr>
        <w:t xml:space="preserve"> </w:t>
      </w:r>
      <w:r w:rsidR="00DE44EC" w:rsidRPr="00DE44EC">
        <w:rPr>
          <w:rFonts w:ascii="Times New Roman" w:hAnsi="Times New Roman"/>
          <w:i/>
          <w:iCs/>
          <w:sz w:val="24"/>
          <w:szCs w:val="24"/>
          <w:lang w:val="es-CO"/>
        </w:rPr>
        <w:t xml:space="preserve">Revista Internacional de </w:t>
      </w:r>
      <w:proofErr w:type="spellStart"/>
      <w:r w:rsidR="00DE44EC" w:rsidRPr="00DE44EC">
        <w:rPr>
          <w:rFonts w:ascii="Times New Roman" w:hAnsi="Times New Roman"/>
          <w:i/>
          <w:iCs/>
          <w:sz w:val="24"/>
          <w:szCs w:val="24"/>
          <w:lang w:val="es-CO"/>
        </w:rPr>
        <w:t>Desenvolvimento</w:t>
      </w:r>
      <w:proofErr w:type="spellEnd"/>
      <w:r w:rsidR="00DE44EC" w:rsidRPr="00DE44EC">
        <w:rPr>
          <w:rFonts w:ascii="Times New Roman" w:hAnsi="Times New Roman"/>
          <w:i/>
          <w:iCs/>
          <w:sz w:val="24"/>
          <w:szCs w:val="24"/>
          <w:lang w:val="es-CO"/>
        </w:rPr>
        <w:t xml:space="preserve"> Local. 2</w:t>
      </w:r>
      <w:r w:rsidR="00DE44EC" w:rsidRPr="00DE44EC">
        <w:rPr>
          <w:rFonts w:ascii="Times New Roman" w:hAnsi="Times New Roman"/>
          <w:i/>
          <w:iCs/>
          <w:sz w:val="24"/>
          <w:szCs w:val="24"/>
          <w:lang w:val="es-CO"/>
        </w:rPr>
        <w:t>(3</w:t>
      </w:r>
      <w:r w:rsidR="00DE44EC">
        <w:rPr>
          <w:rFonts w:ascii="Times New Roman" w:hAnsi="Times New Roman"/>
          <w:sz w:val="24"/>
          <w:szCs w:val="24"/>
          <w:lang w:val="es-CO"/>
        </w:rPr>
        <w:t>), 9-28</w:t>
      </w:r>
    </w:p>
    <w:p w14:paraId="16083A32" w14:textId="5D8FC247" w:rsidR="00DE44EC" w:rsidRPr="00DE44EC" w:rsidRDefault="00DE44EC" w:rsidP="00001A27">
      <w:pPr>
        <w:spacing w:line="240" w:lineRule="auto"/>
        <w:ind w:left="709" w:hanging="709"/>
        <w:jc w:val="both"/>
        <w:rPr>
          <w:rFonts w:ascii="Times New Roman" w:hAnsi="Times New Roman"/>
          <w:sz w:val="24"/>
          <w:szCs w:val="24"/>
          <w:lang w:val="es-CO"/>
        </w:rPr>
      </w:pPr>
      <w:r>
        <w:rPr>
          <w:rFonts w:ascii="Times New Roman" w:hAnsi="Times New Roman"/>
          <w:sz w:val="24"/>
          <w:szCs w:val="24"/>
          <w:lang w:val="es-CO"/>
        </w:rPr>
        <w:t xml:space="preserve">Bourdieu, P. (1980). </w:t>
      </w:r>
      <w:proofErr w:type="spellStart"/>
      <w:r w:rsidRPr="00DE44EC">
        <w:rPr>
          <w:rFonts w:ascii="Times New Roman" w:hAnsi="Times New Roman"/>
          <w:sz w:val="24"/>
          <w:szCs w:val="24"/>
          <w:lang w:val="es-CO"/>
        </w:rPr>
        <w:t>L'identité</w:t>
      </w:r>
      <w:proofErr w:type="spellEnd"/>
      <w:r w:rsidRPr="00DE44EC">
        <w:rPr>
          <w:rFonts w:ascii="Times New Roman" w:hAnsi="Times New Roman"/>
          <w:sz w:val="24"/>
          <w:szCs w:val="24"/>
          <w:lang w:val="es-CO"/>
        </w:rPr>
        <w:t xml:space="preserve"> et la </w:t>
      </w:r>
      <w:proofErr w:type="spellStart"/>
      <w:r w:rsidRPr="00DE44EC">
        <w:rPr>
          <w:rFonts w:ascii="Times New Roman" w:hAnsi="Times New Roman"/>
          <w:sz w:val="24"/>
          <w:szCs w:val="24"/>
          <w:lang w:val="es-CO"/>
        </w:rPr>
        <w:t>représentation</w:t>
      </w:r>
      <w:proofErr w:type="spellEnd"/>
      <w:r w:rsidRPr="00DE44EC">
        <w:rPr>
          <w:rFonts w:ascii="Times New Roman" w:hAnsi="Times New Roman"/>
          <w:sz w:val="24"/>
          <w:szCs w:val="24"/>
          <w:lang w:val="es-CO"/>
        </w:rPr>
        <w:t xml:space="preserve">. </w:t>
      </w:r>
      <w:proofErr w:type="spellStart"/>
      <w:r w:rsidRPr="00DE44EC">
        <w:rPr>
          <w:rFonts w:ascii="Times New Roman" w:hAnsi="Times New Roman"/>
          <w:sz w:val="24"/>
          <w:szCs w:val="24"/>
          <w:lang w:val="es-CO"/>
        </w:rPr>
        <w:t>Eléments</w:t>
      </w:r>
      <w:proofErr w:type="spellEnd"/>
      <w:r w:rsidRPr="00DE44EC">
        <w:rPr>
          <w:rFonts w:ascii="Times New Roman" w:hAnsi="Times New Roman"/>
          <w:sz w:val="24"/>
          <w:szCs w:val="24"/>
          <w:lang w:val="es-CO"/>
        </w:rPr>
        <w:t xml:space="preserve"> </w:t>
      </w:r>
      <w:proofErr w:type="spellStart"/>
      <w:r w:rsidRPr="00DE44EC">
        <w:rPr>
          <w:rFonts w:ascii="Times New Roman" w:hAnsi="Times New Roman"/>
          <w:sz w:val="24"/>
          <w:szCs w:val="24"/>
          <w:lang w:val="es-CO"/>
        </w:rPr>
        <w:t>pour</w:t>
      </w:r>
      <w:proofErr w:type="spellEnd"/>
      <w:r w:rsidRPr="00DE44EC">
        <w:rPr>
          <w:rFonts w:ascii="Times New Roman" w:hAnsi="Times New Roman"/>
          <w:sz w:val="24"/>
          <w:szCs w:val="24"/>
          <w:lang w:val="es-CO"/>
        </w:rPr>
        <w:t xml:space="preserve"> une </w:t>
      </w:r>
      <w:proofErr w:type="spellStart"/>
      <w:r w:rsidRPr="00DE44EC">
        <w:rPr>
          <w:rFonts w:ascii="Times New Roman" w:hAnsi="Times New Roman"/>
          <w:sz w:val="24"/>
          <w:szCs w:val="24"/>
          <w:lang w:val="es-CO"/>
        </w:rPr>
        <w:t>réflexion</w:t>
      </w:r>
      <w:proofErr w:type="spellEnd"/>
      <w:r w:rsidRPr="00DE44EC">
        <w:rPr>
          <w:rFonts w:ascii="Times New Roman" w:hAnsi="Times New Roman"/>
          <w:sz w:val="24"/>
          <w:szCs w:val="24"/>
          <w:lang w:val="es-CO"/>
        </w:rPr>
        <w:t xml:space="preserve"> critique sur </w:t>
      </w:r>
      <w:proofErr w:type="spellStart"/>
      <w:r w:rsidRPr="00DE44EC">
        <w:rPr>
          <w:rFonts w:ascii="Times New Roman" w:hAnsi="Times New Roman"/>
          <w:sz w:val="24"/>
          <w:szCs w:val="24"/>
          <w:lang w:val="es-CO"/>
        </w:rPr>
        <w:t>lIdée</w:t>
      </w:r>
      <w:proofErr w:type="spellEnd"/>
      <w:r w:rsidRPr="00DE44EC">
        <w:rPr>
          <w:rFonts w:ascii="Times New Roman" w:hAnsi="Times New Roman"/>
          <w:sz w:val="24"/>
          <w:szCs w:val="24"/>
          <w:lang w:val="es-CO"/>
        </w:rPr>
        <w:t xml:space="preserve"> de </w:t>
      </w:r>
      <w:proofErr w:type="spellStart"/>
      <w:r w:rsidRPr="00DE44EC">
        <w:rPr>
          <w:rFonts w:ascii="Times New Roman" w:hAnsi="Times New Roman"/>
          <w:sz w:val="24"/>
          <w:szCs w:val="24"/>
          <w:lang w:val="es-CO"/>
        </w:rPr>
        <w:t>région</w:t>
      </w:r>
      <w:proofErr w:type="spellEnd"/>
      <w:r>
        <w:rPr>
          <w:rFonts w:ascii="Times New Roman" w:hAnsi="Times New Roman"/>
          <w:sz w:val="24"/>
          <w:szCs w:val="24"/>
          <w:lang w:val="es-CO"/>
        </w:rPr>
        <w:t xml:space="preserve">. </w:t>
      </w:r>
      <w:proofErr w:type="spellStart"/>
      <w:r w:rsidRPr="00DE44EC">
        <w:rPr>
          <w:rFonts w:ascii="Times New Roman" w:hAnsi="Times New Roman"/>
          <w:i/>
          <w:iCs/>
          <w:sz w:val="24"/>
          <w:szCs w:val="24"/>
          <w:lang w:val="es-CO"/>
        </w:rPr>
        <w:t>Actes</w:t>
      </w:r>
      <w:proofErr w:type="spellEnd"/>
      <w:r w:rsidRPr="00DE44EC">
        <w:rPr>
          <w:rFonts w:ascii="Times New Roman" w:hAnsi="Times New Roman"/>
          <w:i/>
          <w:iCs/>
          <w:sz w:val="24"/>
          <w:szCs w:val="24"/>
          <w:lang w:val="es-CO"/>
        </w:rPr>
        <w:t xml:space="preserve"> de la </w:t>
      </w:r>
      <w:proofErr w:type="spellStart"/>
      <w:r w:rsidRPr="00DE44EC">
        <w:rPr>
          <w:rFonts w:ascii="Times New Roman" w:hAnsi="Times New Roman"/>
          <w:i/>
          <w:iCs/>
          <w:sz w:val="24"/>
          <w:szCs w:val="24"/>
          <w:lang w:val="es-CO"/>
        </w:rPr>
        <w:t>Recherche</w:t>
      </w:r>
      <w:proofErr w:type="spellEnd"/>
      <w:r w:rsidRPr="00DE44EC">
        <w:rPr>
          <w:rFonts w:ascii="Times New Roman" w:hAnsi="Times New Roman"/>
          <w:i/>
          <w:iCs/>
          <w:sz w:val="24"/>
          <w:szCs w:val="24"/>
          <w:lang w:val="es-CO"/>
        </w:rPr>
        <w:t xml:space="preserve"> en </w:t>
      </w:r>
      <w:proofErr w:type="spellStart"/>
      <w:r w:rsidRPr="00DE44EC">
        <w:rPr>
          <w:rFonts w:ascii="Times New Roman" w:hAnsi="Times New Roman"/>
          <w:i/>
          <w:iCs/>
          <w:sz w:val="24"/>
          <w:szCs w:val="24"/>
          <w:lang w:val="es-CO"/>
        </w:rPr>
        <w:t>sciences</w:t>
      </w:r>
      <w:proofErr w:type="spellEnd"/>
      <w:r w:rsidRPr="00DE44EC">
        <w:rPr>
          <w:rFonts w:ascii="Times New Roman" w:hAnsi="Times New Roman"/>
          <w:i/>
          <w:iCs/>
          <w:sz w:val="24"/>
          <w:szCs w:val="24"/>
          <w:lang w:val="es-CO"/>
        </w:rPr>
        <w:t xml:space="preserve"> sociales</w:t>
      </w:r>
      <w:r w:rsidRPr="00DE44EC">
        <w:rPr>
          <w:rFonts w:ascii="Times New Roman" w:hAnsi="Times New Roman"/>
          <w:sz w:val="24"/>
          <w:szCs w:val="24"/>
          <w:lang w:val="es-CO"/>
        </w:rPr>
        <w:t>, 35</w:t>
      </w:r>
      <w:r>
        <w:rPr>
          <w:rFonts w:ascii="Times New Roman" w:hAnsi="Times New Roman"/>
          <w:sz w:val="24"/>
          <w:szCs w:val="24"/>
          <w:lang w:val="es-CO"/>
        </w:rPr>
        <w:t>,</w:t>
      </w:r>
      <w:r w:rsidRPr="00DE44EC">
        <w:rPr>
          <w:rFonts w:ascii="Times New Roman" w:hAnsi="Times New Roman"/>
          <w:sz w:val="24"/>
          <w:szCs w:val="24"/>
          <w:lang w:val="es-CO"/>
        </w:rPr>
        <w:t xml:space="preserve"> </w:t>
      </w:r>
      <w:r>
        <w:rPr>
          <w:rFonts w:ascii="Times New Roman" w:hAnsi="Times New Roman"/>
          <w:sz w:val="24"/>
          <w:szCs w:val="24"/>
          <w:lang w:val="es-CO"/>
        </w:rPr>
        <w:t>63-72.</w:t>
      </w:r>
    </w:p>
    <w:p w14:paraId="05EAAA84" w14:textId="47405D69" w:rsidR="00001A27" w:rsidRDefault="00001A27" w:rsidP="00BB5412">
      <w:pPr>
        <w:spacing w:line="240" w:lineRule="auto"/>
        <w:ind w:left="709" w:hanging="709"/>
        <w:jc w:val="both"/>
        <w:rPr>
          <w:rFonts w:ascii="Times New Roman" w:hAnsi="Times New Roman"/>
          <w:sz w:val="24"/>
          <w:szCs w:val="24"/>
          <w:lang w:val="es-CO"/>
        </w:rPr>
      </w:pPr>
      <w:r w:rsidRPr="00001A27">
        <w:rPr>
          <w:rFonts w:ascii="Times New Roman" w:hAnsi="Times New Roman"/>
          <w:sz w:val="24"/>
          <w:szCs w:val="24"/>
          <w:lang w:val="es-CO"/>
        </w:rPr>
        <w:t>Escobar, A. (</w:t>
      </w:r>
      <w:r>
        <w:rPr>
          <w:rFonts w:ascii="Times New Roman" w:hAnsi="Times New Roman"/>
          <w:sz w:val="24"/>
          <w:szCs w:val="24"/>
          <w:lang w:val="es-CO"/>
        </w:rPr>
        <w:t>2010)</w:t>
      </w:r>
      <w:r w:rsidRPr="00001A27">
        <w:rPr>
          <w:rFonts w:ascii="Times New Roman" w:hAnsi="Times New Roman"/>
          <w:sz w:val="24"/>
          <w:szCs w:val="24"/>
          <w:lang w:val="es-CO"/>
        </w:rPr>
        <w:t xml:space="preserve">. </w:t>
      </w:r>
      <w:r w:rsidRPr="00001A27">
        <w:rPr>
          <w:rFonts w:ascii="Times New Roman" w:hAnsi="Times New Roman"/>
          <w:i/>
          <w:iCs/>
          <w:sz w:val="24"/>
          <w:szCs w:val="24"/>
          <w:lang w:val="es-CO"/>
        </w:rPr>
        <w:t>T</w:t>
      </w:r>
      <w:r w:rsidRPr="00001A27">
        <w:rPr>
          <w:rFonts w:ascii="Times New Roman" w:hAnsi="Times New Roman"/>
          <w:i/>
          <w:iCs/>
          <w:sz w:val="24"/>
          <w:szCs w:val="24"/>
          <w:lang w:val="es-CO"/>
        </w:rPr>
        <w:t>erritorios de diferencia: Lugar, movimientos, vida, redes</w:t>
      </w:r>
      <w:r>
        <w:rPr>
          <w:rFonts w:ascii="Times New Roman" w:hAnsi="Times New Roman"/>
          <w:i/>
          <w:iCs/>
          <w:sz w:val="24"/>
          <w:szCs w:val="24"/>
          <w:lang w:val="es-CO"/>
        </w:rPr>
        <w:t xml:space="preserve">. </w:t>
      </w:r>
      <w:r>
        <w:rPr>
          <w:rFonts w:ascii="Times New Roman" w:hAnsi="Times New Roman"/>
          <w:sz w:val="24"/>
          <w:szCs w:val="24"/>
          <w:lang w:val="es-CO"/>
        </w:rPr>
        <w:t>Envión</w:t>
      </w:r>
    </w:p>
    <w:p w14:paraId="09B71450" w14:textId="77777777" w:rsidR="00DE44EC" w:rsidRDefault="00DE44EC" w:rsidP="00DE44EC">
      <w:pPr>
        <w:spacing w:line="240" w:lineRule="auto"/>
        <w:ind w:left="709" w:hanging="709"/>
        <w:jc w:val="both"/>
        <w:rPr>
          <w:rFonts w:ascii="Times New Roman" w:hAnsi="Times New Roman"/>
          <w:sz w:val="24"/>
          <w:szCs w:val="24"/>
          <w:lang w:val="es-CO"/>
        </w:rPr>
      </w:pPr>
      <w:r>
        <w:rPr>
          <w:rFonts w:ascii="Times New Roman" w:hAnsi="Times New Roman"/>
          <w:sz w:val="24"/>
          <w:szCs w:val="24"/>
          <w:lang w:val="es-CO"/>
        </w:rPr>
        <w:t xml:space="preserve">Tierra Digna. (2019) Todas y todos somos guardianes del Atrato. Cartilla. </w:t>
      </w:r>
      <w:hyperlink r:id="rId9" w:history="1">
        <w:r w:rsidRPr="004F470E">
          <w:rPr>
            <w:rStyle w:val="Hipervnculo"/>
            <w:rFonts w:ascii="Times New Roman" w:hAnsi="Times New Roman"/>
            <w:sz w:val="24"/>
            <w:szCs w:val="24"/>
            <w:lang w:val="es-CO"/>
          </w:rPr>
          <w:t>https://co.boell.org/es/2019/02/19/todas-y-todos-somos-guardianes-del-atrato</w:t>
        </w:r>
      </w:hyperlink>
      <w:r>
        <w:rPr>
          <w:rFonts w:ascii="Times New Roman" w:hAnsi="Times New Roman"/>
          <w:sz w:val="24"/>
          <w:szCs w:val="24"/>
          <w:lang w:val="es-CO"/>
        </w:rPr>
        <w:t xml:space="preserve"> </w:t>
      </w:r>
    </w:p>
    <w:p w14:paraId="0B4C5073" w14:textId="77777777" w:rsidR="00DE44EC" w:rsidRPr="00DE44EC" w:rsidRDefault="00DE44EC" w:rsidP="00BB5412">
      <w:pPr>
        <w:spacing w:line="240" w:lineRule="auto"/>
        <w:ind w:left="709" w:hanging="709"/>
        <w:jc w:val="both"/>
        <w:rPr>
          <w:rFonts w:ascii="Times New Roman" w:hAnsi="Times New Roman"/>
          <w:sz w:val="24"/>
          <w:szCs w:val="24"/>
          <w:lang w:val="es-CO"/>
        </w:rPr>
      </w:pPr>
    </w:p>
    <w:p w14:paraId="7B00BF54" w14:textId="0B8208DA" w:rsidR="00BB5412" w:rsidRPr="00DE44EC" w:rsidRDefault="00001A27" w:rsidP="00DE44EC">
      <w:pPr>
        <w:spacing w:line="240" w:lineRule="auto"/>
        <w:ind w:left="709" w:hanging="709"/>
        <w:jc w:val="both"/>
        <w:rPr>
          <w:rFonts w:ascii="Times New Roman" w:hAnsi="Times New Roman"/>
          <w:sz w:val="24"/>
          <w:szCs w:val="24"/>
          <w:lang w:val="es-CO"/>
        </w:rPr>
      </w:pPr>
      <w:r w:rsidRPr="00001A27">
        <w:rPr>
          <w:rFonts w:ascii="Times New Roman" w:hAnsi="Times New Roman"/>
          <w:sz w:val="24"/>
          <w:szCs w:val="24"/>
          <w:lang w:val="es-CO"/>
        </w:rPr>
        <w:t>Wade, P. (</w:t>
      </w:r>
      <w:r>
        <w:rPr>
          <w:rFonts w:ascii="Times New Roman" w:hAnsi="Times New Roman"/>
          <w:sz w:val="24"/>
          <w:szCs w:val="24"/>
          <w:lang w:val="es-CO"/>
        </w:rPr>
        <w:t>1990</w:t>
      </w:r>
      <w:r w:rsidRPr="00001A27">
        <w:rPr>
          <w:rFonts w:ascii="Times New Roman" w:hAnsi="Times New Roman"/>
          <w:sz w:val="24"/>
          <w:szCs w:val="24"/>
          <w:lang w:val="es-CO"/>
        </w:rPr>
        <w:t xml:space="preserve">). El </w:t>
      </w:r>
      <w:r>
        <w:rPr>
          <w:rFonts w:ascii="Times New Roman" w:hAnsi="Times New Roman"/>
          <w:sz w:val="24"/>
          <w:szCs w:val="24"/>
          <w:lang w:val="es-CO"/>
        </w:rPr>
        <w:t xml:space="preserve">Chocó una región negra. </w:t>
      </w:r>
      <w:r w:rsidRPr="00001A27">
        <w:rPr>
          <w:rFonts w:ascii="Times New Roman" w:hAnsi="Times New Roman"/>
          <w:i/>
          <w:iCs/>
          <w:sz w:val="24"/>
          <w:szCs w:val="24"/>
          <w:lang w:val="es-CO"/>
        </w:rPr>
        <w:t>Boletín Museo del Oro. Banco de la República</w:t>
      </w:r>
      <w:r>
        <w:rPr>
          <w:rFonts w:ascii="Times New Roman" w:hAnsi="Times New Roman"/>
          <w:sz w:val="24"/>
          <w:szCs w:val="24"/>
          <w:lang w:val="es-CO"/>
        </w:rPr>
        <w:t>, 29, 121-149.</w:t>
      </w:r>
    </w:p>
    <w:p w14:paraId="32B92A67" w14:textId="7D2FFC37" w:rsidR="00001A27" w:rsidRPr="00BB5412" w:rsidRDefault="00001A27" w:rsidP="00001A27">
      <w:pPr>
        <w:spacing w:line="240" w:lineRule="auto"/>
        <w:jc w:val="both"/>
        <w:rPr>
          <w:rFonts w:ascii="Times New Roman" w:hAnsi="Times New Roman"/>
          <w:sz w:val="24"/>
          <w:szCs w:val="24"/>
        </w:rPr>
      </w:pPr>
    </w:p>
    <w:sectPr w:rsidR="00001A27" w:rsidRPr="00BB5412" w:rsidSect="00691D9A">
      <w:headerReference w:type="default" r:id="rId10"/>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AF5F9" w14:textId="77777777" w:rsidR="000D7CE3" w:rsidRDefault="000D7CE3" w:rsidP="003A1870">
      <w:pPr>
        <w:spacing w:after="0" w:line="240" w:lineRule="auto"/>
      </w:pPr>
      <w:r>
        <w:separator/>
      </w:r>
    </w:p>
  </w:endnote>
  <w:endnote w:type="continuationSeparator" w:id="0">
    <w:p w14:paraId="299F2D8F" w14:textId="77777777" w:rsidR="000D7CE3" w:rsidRDefault="000D7CE3"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2B4C6" w14:textId="77777777" w:rsidR="000D7CE3" w:rsidRDefault="000D7CE3" w:rsidP="003A1870">
      <w:pPr>
        <w:spacing w:after="0" w:line="240" w:lineRule="auto"/>
      </w:pPr>
      <w:r>
        <w:separator/>
      </w:r>
    </w:p>
  </w:footnote>
  <w:footnote w:type="continuationSeparator" w:id="0">
    <w:p w14:paraId="4BEDF003" w14:textId="77777777" w:rsidR="000D7CE3" w:rsidRDefault="000D7CE3"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A26D" w14:textId="7C6B4BB6" w:rsidR="00152D97" w:rsidRDefault="004C58D2" w:rsidP="00691D9A">
    <w:pPr>
      <w:pStyle w:val="Encabezado"/>
      <w:jc w:val="right"/>
    </w:pPr>
    <w:r>
      <w:rPr>
        <w:noProof/>
      </w:rPr>
      <w:drawing>
        <wp:inline distT="0" distB="0" distL="0" distR="0" wp14:anchorId="3B448C83" wp14:editId="09542AFD">
          <wp:extent cx="623756" cy="538385"/>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4"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574124961">
    <w:abstractNumId w:val="2"/>
  </w:num>
  <w:num w:numId="2" w16cid:durableId="90056880">
    <w:abstractNumId w:val="0"/>
  </w:num>
  <w:num w:numId="3" w16cid:durableId="1012491172">
    <w:abstractNumId w:val="1"/>
  </w:num>
  <w:num w:numId="4" w16cid:durableId="554123969">
    <w:abstractNumId w:val="4"/>
  </w:num>
  <w:num w:numId="5" w16cid:durableId="334649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01A27"/>
    <w:rsid w:val="00022C64"/>
    <w:rsid w:val="00095063"/>
    <w:rsid w:val="000B7D43"/>
    <w:rsid w:val="000D7CE3"/>
    <w:rsid w:val="00121204"/>
    <w:rsid w:val="00124DA9"/>
    <w:rsid w:val="00152D97"/>
    <w:rsid w:val="00156522"/>
    <w:rsid w:val="00261C7E"/>
    <w:rsid w:val="002773E8"/>
    <w:rsid w:val="00290B26"/>
    <w:rsid w:val="002A457A"/>
    <w:rsid w:val="002B4C82"/>
    <w:rsid w:val="002B7CA3"/>
    <w:rsid w:val="00370D25"/>
    <w:rsid w:val="003A1870"/>
    <w:rsid w:val="003B70B6"/>
    <w:rsid w:val="003D6EC3"/>
    <w:rsid w:val="004101C6"/>
    <w:rsid w:val="00423E1C"/>
    <w:rsid w:val="00433D27"/>
    <w:rsid w:val="00452A98"/>
    <w:rsid w:val="00461D12"/>
    <w:rsid w:val="00491C0D"/>
    <w:rsid w:val="004931BD"/>
    <w:rsid w:val="004A430F"/>
    <w:rsid w:val="004C58D2"/>
    <w:rsid w:val="00504129"/>
    <w:rsid w:val="005968F8"/>
    <w:rsid w:val="005C7E9C"/>
    <w:rsid w:val="005F5030"/>
    <w:rsid w:val="00635CB0"/>
    <w:rsid w:val="00641593"/>
    <w:rsid w:val="0064416C"/>
    <w:rsid w:val="00691D9A"/>
    <w:rsid w:val="006D4B7C"/>
    <w:rsid w:val="006D53F7"/>
    <w:rsid w:val="006E0BAF"/>
    <w:rsid w:val="006E6A0E"/>
    <w:rsid w:val="00711F4B"/>
    <w:rsid w:val="0071605E"/>
    <w:rsid w:val="0075027A"/>
    <w:rsid w:val="007703E8"/>
    <w:rsid w:val="007E44C0"/>
    <w:rsid w:val="00825F79"/>
    <w:rsid w:val="00883A7A"/>
    <w:rsid w:val="008A2D95"/>
    <w:rsid w:val="00913441"/>
    <w:rsid w:val="00923610"/>
    <w:rsid w:val="00924A49"/>
    <w:rsid w:val="00946CCC"/>
    <w:rsid w:val="00947763"/>
    <w:rsid w:val="00954D5C"/>
    <w:rsid w:val="00971D53"/>
    <w:rsid w:val="009742EF"/>
    <w:rsid w:val="009C0B9E"/>
    <w:rsid w:val="009C2FDF"/>
    <w:rsid w:val="00A012C8"/>
    <w:rsid w:val="00A061C3"/>
    <w:rsid w:val="00A400A7"/>
    <w:rsid w:val="00A56198"/>
    <w:rsid w:val="00A713D0"/>
    <w:rsid w:val="00A86C41"/>
    <w:rsid w:val="00AD1505"/>
    <w:rsid w:val="00AD5BCA"/>
    <w:rsid w:val="00AE6033"/>
    <w:rsid w:val="00B57162"/>
    <w:rsid w:val="00BB28B3"/>
    <w:rsid w:val="00BB5412"/>
    <w:rsid w:val="00BC7D48"/>
    <w:rsid w:val="00C224C3"/>
    <w:rsid w:val="00C23036"/>
    <w:rsid w:val="00C242E1"/>
    <w:rsid w:val="00C360E9"/>
    <w:rsid w:val="00C4704F"/>
    <w:rsid w:val="00CA5396"/>
    <w:rsid w:val="00CD33BD"/>
    <w:rsid w:val="00CF08D7"/>
    <w:rsid w:val="00D326AE"/>
    <w:rsid w:val="00D57C3B"/>
    <w:rsid w:val="00DB2BA8"/>
    <w:rsid w:val="00DE44EC"/>
    <w:rsid w:val="00E03395"/>
    <w:rsid w:val="00E50E04"/>
    <w:rsid w:val="00E569AA"/>
    <w:rsid w:val="00E84C03"/>
    <w:rsid w:val="00E9275E"/>
    <w:rsid w:val="00EA5B16"/>
    <w:rsid w:val="00ED0F2E"/>
    <w:rsid w:val="00ED7394"/>
    <w:rsid w:val="00EE2AD6"/>
    <w:rsid w:val="00F303E1"/>
    <w:rsid w:val="00F55A6A"/>
    <w:rsid w:val="00F6365B"/>
    <w:rsid w:val="00FA2C2E"/>
    <w:rsid w:val="00FA32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BB902"/>
  <w14:defaultImageDpi w14:val="0"/>
  <w15:docId w15:val="{A6CC00C9-4030-46DF-8786-40CBE7F3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character" w:styleId="Mencinsinresolver">
    <w:name w:val="Unresolved Mention"/>
    <w:basedOn w:val="Fuentedeprrafopredeter"/>
    <w:uiPriority w:val="99"/>
    <w:semiHidden/>
    <w:unhideWhenUsed/>
    <w:rsid w:val="00001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978863">
      <w:bodyDiv w:val="1"/>
      <w:marLeft w:val="0"/>
      <w:marRight w:val="0"/>
      <w:marTop w:val="0"/>
      <w:marBottom w:val="0"/>
      <w:divBdr>
        <w:top w:val="none" w:sz="0" w:space="0" w:color="auto"/>
        <w:left w:val="none" w:sz="0" w:space="0" w:color="auto"/>
        <w:bottom w:val="none" w:sz="0" w:space="0" w:color="auto"/>
        <w:right w:val="none" w:sz="0" w:space="0" w:color="auto"/>
      </w:divBdr>
      <w:divsChild>
        <w:div w:id="409083270">
          <w:marLeft w:val="0"/>
          <w:marRight w:val="0"/>
          <w:marTop w:val="0"/>
          <w:marBottom w:val="0"/>
          <w:divBdr>
            <w:top w:val="none" w:sz="0" w:space="0" w:color="auto"/>
            <w:left w:val="none" w:sz="0" w:space="0" w:color="auto"/>
            <w:bottom w:val="none" w:sz="0" w:space="0" w:color="auto"/>
            <w:right w:val="none" w:sz="0" w:space="0" w:color="auto"/>
          </w:divBdr>
          <w:divsChild>
            <w:div w:id="716902025">
              <w:marLeft w:val="0"/>
              <w:marRight w:val="0"/>
              <w:marTop w:val="0"/>
              <w:marBottom w:val="0"/>
              <w:divBdr>
                <w:top w:val="none" w:sz="0" w:space="0" w:color="auto"/>
                <w:left w:val="none" w:sz="0" w:space="0" w:color="auto"/>
                <w:bottom w:val="none" w:sz="0" w:space="0" w:color="auto"/>
                <w:right w:val="none" w:sz="0" w:space="0" w:color="auto"/>
              </w:divBdr>
              <w:divsChild>
                <w:div w:id="9300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97700">
      <w:bodyDiv w:val="1"/>
      <w:marLeft w:val="0"/>
      <w:marRight w:val="0"/>
      <w:marTop w:val="0"/>
      <w:marBottom w:val="0"/>
      <w:divBdr>
        <w:top w:val="none" w:sz="0" w:space="0" w:color="auto"/>
        <w:left w:val="none" w:sz="0" w:space="0" w:color="auto"/>
        <w:bottom w:val="none" w:sz="0" w:space="0" w:color="auto"/>
        <w:right w:val="none" w:sz="0" w:space="0" w:color="auto"/>
      </w:divBdr>
      <w:divsChild>
        <w:div w:id="53550728">
          <w:marLeft w:val="0"/>
          <w:marRight w:val="0"/>
          <w:marTop w:val="0"/>
          <w:marBottom w:val="0"/>
          <w:divBdr>
            <w:top w:val="none" w:sz="0" w:space="0" w:color="auto"/>
            <w:left w:val="none" w:sz="0" w:space="0" w:color="auto"/>
            <w:bottom w:val="none" w:sz="0" w:space="0" w:color="auto"/>
            <w:right w:val="none" w:sz="0" w:space="0" w:color="auto"/>
          </w:divBdr>
          <w:divsChild>
            <w:div w:id="2134015855">
              <w:marLeft w:val="0"/>
              <w:marRight w:val="0"/>
              <w:marTop w:val="0"/>
              <w:marBottom w:val="0"/>
              <w:divBdr>
                <w:top w:val="none" w:sz="0" w:space="0" w:color="auto"/>
                <w:left w:val="none" w:sz="0" w:space="0" w:color="auto"/>
                <w:bottom w:val="none" w:sz="0" w:space="0" w:color="auto"/>
                <w:right w:val="none" w:sz="0" w:space="0" w:color="auto"/>
              </w:divBdr>
              <w:divsChild>
                <w:div w:id="16802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40477">
      <w:bodyDiv w:val="1"/>
      <w:marLeft w:val="0"/>
      <w:marRight w:val="0"/>
      <w:marTop w:val="0"/>
      <w:marBottom w:val="0"/>
      <w:divBdr>
        <w:top w:val="none" w:sz="0" w:space="0" w:color="auto"/>
        <w:left w:val="none" w:sz="0" w:space="0" w:color="auto"/>
        <w:bottom w:val="none" w:sz="0" w:space="0" w:color="auto"/>
        <w:right w:val="none" w:sz="0" w:space="0" w:color="auto"/>
      </w:divBdr>
      <w:divsChild>
        <w:div w:id="1960259483">
          <w:marLeft w:val="0"/>
          <w:marRight w:val="0"/>
          <w:marTop w:val="0"/>
          <w:marBottom w:val="0"/>
          <w:divBdr>
            <w:top w:val="none" w:sz="0" w:space="0" w:color="auto"/>
            <w:left w:val="none" w:sz="0" w:space="0" w:color="auto"/>
            <w:bottom w:val="none" w:sz="0" w:space="0" w:color="auto"/>
            <w:right w:val="none" w:sz="0" w:space="0" w:color="auto"/>
          </w:divBdr>
          <w:divsChild>
            <w:div w:id="1610895102">
              <w:marLeft w:val="0"/>
              <w:marRight w:val="0"/>
              <w:marTop w:val="0"/>
              <w:marBottom w:val="0"/>
              <w:divBdr>
                <w:top w:val="none" w:sz="0" w:space="0" w:color="auto"/>
                <w:left w:val="none" w:sz="0" w:space="0" w:color="auto"/>
                <w:bottom w:val="none" w:sz="0" w:space="0" w:color="auto"/>
                <w:right w:val="none" w:sz="0" w:space="0" w:color="auto"/>
              </w:divBdr>
              <w:divsChild>
                <w:div w:id="11884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46497">
      <w:marLeft w:val="0"/>
      <w:marRight w:val="0"/>
      <w:marTop w:val="0"/>
      <w:marBottom w:val="0"/>
      <w:divBdr>
        <w:top w:val="none" w:sz="0" w:space="0" w:color="auto"/>
        <w:left w:val="none" w:sz="0" w:space="0" w:color="auto"/>
        <w:bottom w:val="none" w:sz="0" w:space="0" w:color="auto"/>
        <w:right w:val="none" w:sz="0" w:space="0" w:color="auto"/>
      </w:divBdr>
    </w:div>
    <w:div w:id="2089646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win.cardona@esap.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boell.org/es/2019/02/19/todas-y-todos-somos-guardianes-del-atra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C9ED9-4660-4F8B-8271-12506236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2648</Words>
  <Characters>15176</Characters>
  <Application>Microsoft Office Word</Application>
  <DocSecurity>0</DocSecurity>
  <Lines>266</Lines>
  <Paragraphs>69</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Eduardo Cardona</cp:lastModifiedBy>
  <cp:revision>3</cp:revision>
  <cp:lastPrinted>2012-03-19T09:44:00Z</cp:lastPrinted>
  <dcterms:created xsi:type="dcterms:W3CDTF">2023-01-15T21:56:00Z</dcterms:created>
  <dcterms:modified xsi:type="dcterms:W3CDTF">2023-01-15T21:59:00Z</dcterms:modified>
</cp:coreProperties>
</file>