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Prácticas de gestión del conocimiento en un programa de especialización de posgrado: estudio de un caso.</w:t>
      </w:r>
    </w:p>
    <w:p w:rsidR="00000000" w:rsidDel="00000000" w:rsidP="00000000" w:rsidRDefault="00000000" w:rsidRPr="00000000" w14:paraId="00000002">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Ed. Alejandro Asvin Arrington Báez</w:t>
      </w:r>
    </w:p>
    <w:p w:rsidR="00000000" w:rsidDel="00000000" w:rsidP="00000000" w:rsidRDefault="00000000" w:rsidRPr="00000000" w14:paraId="00000004">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Rubén Edel Navarro</w:t>
      </w:r>
    </w:p>
    <w:p w:rsidR="00000000" w:rsidDel="00000000" w:rsidP="00000000" w:rsidRDefault="00000000" w:rsidRPr="00000000" w14:paraId="00000005">
      <w:pPr>
        <w:spacing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Mtro. Gerson Edgar Ferra Torres</w:t>
      </w:r>
    </w:p>
    <w:p w:rsidR="00000000" w:rsidDel="00000000" w:rsidP="00000000" w:rsidRDefault="00000000" w:rsidRPr="00000000" w14:paraId="00000006">
      <w:pPr>
        <w:spacing w:line="240" w:lineRule="auto"/>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de Málaga-Benemérita Escuela Normal Veracruzana/Doctorado en Educación y Comunicación Social/México </w:t>
      </w:r>
    </w:p>
    <w:p w:rsidR="00000000" w:rsidDel="00000000" w:rsidP="00000000" w:rsidRDefault="00000000" w:rsidRPr="00000000" w14:paraId="00000008">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 de contacto:</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Ed. Alejandro Asvin Arrington Báez</w:t>
        <w:br w:type="textWrapping"/>
      </w:r>
      <w:hyperlink r:id="rId6">
        <w:r w:rsidDel="00000000" w:rsidR="00000000" w:rsidRPr="00000000">
          <w:rPr>
            <w:rFonts w:ascii="Times New Roman" w:cs="Times New Roman" w:eastAsia="Times New Roman" w:hAnsi="Times New Roman"/>
            <w:b w:val="1"/>
            <w:color w:val="1155cc"/>
            <w:sz w:val="24"/>
            <w:szCs w:val="24"/>
            <w:u w:val="single"/>
            <w:rtl w:val="0"/>
          </w:rPr>
          <w:t xml:space="preserve">alejandro.arrington@uma.es</w:t>
        </w:r>
      </w:hyperlink>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+52 2281376089</w:t>
      </w:r>
    </w:p>
    <w:p w:rsidR="00000000" w:rsidDel="00000000" w:rsidP="00000000" w:rsidRDefault="00000000" w:rsidRPr="00000000" w14:paraId="0000000C">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Resumen</w:t>
      </w:r>
    </w:p>
    <w:p w:rsidR="00000000" w:rsidDel="00000000" w:rsidP="00000000" w:rsidRDefault="00000000" w:rsidRPr="00000000" w14:paraId="0000000E">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identificación de procesos de gestión del conocimiento permite potenciar el Capital Intelectual de las organizaciones, ordenar sus procesos de generación de conocimiento, y mejorar la productividad y la calidad. El presente diseño de investigación centra su atención en las prácticas de gestión del conocimiento dentro de un grupo de especialistas en Matemática Educativa que colabora desarrollando docencia e investigación en un programa de especialización a nivel posgrado en una escuela normal mexicana. Como primera fase de una investigación doctoral, se desarrollará un estudio con enfoque cualitativo mediante el desarrollo de entrevistas en profundidad con los docentes investigadores que permitirá caracterizar el grupo de investigación y diagnosticar el estado de madurez de dichas prácticas. Este análisis permitirá describir la estructura y organización del grupo, tomando en cuenta sus normas, tipos de actividades de gestión del conocimiento desarrolladas, formas de interacción y organización al interior del grupo, características de los productos de investigación generados, y expectativas acerca de la producción académica.  La información obtenida de  las respuestas de los entrevistados será contrastada en relación a los ciclos de conocimiento planteados en la literatura actual disponible y a lo que proponen algunos marcos de referencia internacionales como los del The European Guide to Good Practice in Knowledge Management (del Comité Européen de Normalization), y las normas UNE 412001:2008 IN de Gestión del Conocimiento y UNE 166002:2021 de gestión de la investigación , el desarrollo y la innovación (de la Asociación Española de Normalización y Certificación). </w:t>
      </w:r>
    </w:p>
    <w:p w:rsidR="00000000" w:rsidDel="00000000" w:rsidP="00000000" w:rsidRDefault="00000000" w:rsidRPr="00000000" w14:paraId="00000010">
      <w:pPr>
        <w:ind w:firstLine="283.46456692913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ind w:firstLine="283.46456692913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r>
    </w:p>
    <w:p w:rsidR="00000000" w:rsidDel="00000000" w:rsidP="00000000" w:rsidRDefault="00000000" w:rsidRPr="00000000" w14:paraId="00000015">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r>
    </w:p>
    <w:p w:rsidR="00000000" w:rsidDel="00000000" w:rsidP="00000000" w:rsidRDefault="00000000" w:rsidRPr="00000000" w14:paraId="00000016">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r>
    </w:p>
    <w:p w:rsidR="00000000" w:rsidDel="00000000" w:rsidP="00000000" w:rsidRDefault="00000000" w:rsidRPr="00000000" w14:paraId="00000017">
      <w:pPr>
        <w:jc w:val="righ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Prácticas de gestión del conocimiento en un programa de especialización de posgrado: estudio de un caso.</w:t>
        <w:br w:type="textWrapping"/>
      </w:r>
    </w:p>
    <w:p w:rsidR="00000000" w:rsidDel="00000000" w:rsidP="00000000" w:rsidRDefault="00000000" w:rsidRPr="00000000" w14:paraId="0000001A">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 Ed. Alejandro Asvin Arrington Báez. </w:t>
      </w:r>
    </w:p>
    <w:p w:rsidR="00000000" w:rsidDel="00000000" w:rsidP="00000000" w:rsidRDefault="00000000" w:rsidRPr="00000000" w14:paraId="0000001B">
      <w:pPr>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Rubén Edel Navarro</w:t>
      </w:r>
    </w:p>
    <w:p w:rsidR="00000000" w:rsidDel="00000000" w:rsidP="00000000" w:rsidRDefault="00000000" w:rsidRPr="00000000" w14:paraId="0000001C">
      <w:pPr>
        <w:jc w:val="right"/>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4"/>
          <w:szCs w:val="24"/>
          <w:rtl w:val="0"/>
        </w:rPr>
        <w:t xml:space="preserve">Mtro. Gerson Edgar Ferra Torres</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1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de Málaga-Benemérita Escuela Normal Veracruzana/Doctorado en Educación y Comunicación Social/México</w:t>
      </w:r>
    </w:p>
    <w:p w:rsidR="00000000" w:rsidDel="00000000" w:rsidP="00000000" w:rsidRDefault="00000000" w:rsidRPr="00000000" w14:paraId="0000001F">
      <w:pPr>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1.1. Introducción </w:t>
      </w:r>
    </w:p>
    <w:p w:rsidR="00000000" w:rsidDel="00000000" w:rsidP="00000000" w:rsidRDefault="00000000" w:rsidRPr="00000000" w14:paraId="00000021">
      <w:pPr>
        <w:spacing w:after="200" w:before="240"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Nawaz y Gomes (2014), afirman que la gestión del conocimiento (GC) en instituciones de educación superior permite incrementar la retención de estudiantes, obtener mejores porcentajes de alumnos graduados, hacer uso efectivo de la tecnología, obtener mejores tasas de inscripción, y competir en un ambiente en el que cada vez es más común que las instituciones crucen las fronteras estatales y nacionales para cubrir las necesidades de los estudiantes.</w:t>
      </w:r>
    </w:p>
    <w:p w:rsidR="00000000" w:rsidDel="00000000" w:rsidP="00000000" w:rsidRDefault="00000000" w:rsidRPr="00000000" w14:paraId="00000022">
      <w:pPr>
        <w:spacing w:after="200" w:before="200" w:line="240" w:lineRule="auto"/>
        <w:ind w:left="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sz w:val="24"/>
          <w:szCs w:val="24"/>
          <w:rtl w:val="0"/>
        </w:rPr>
        <w:t xml:space="preserve">La literatura disponible atestigua que la GC permite que las personas que laboran en una organización compartan lo que saben, ayuda a mejorar los servicios y resultados, y juega un rol importante en la mejora de los procesos de planeación institucional, de la toma de decisiones, de la solución de problemas críticos, de la enseñanza-aprendizaje, de los procesos administrativos y de los procesos de investigación.</w:t>
      </w:r>
      <w:r w:rsidDel="00000000" w:rsidR="00000000" w:rsidRPr="00000000">
        <w:rPr>
          <w:rtl w:val="0"/>
        </w:rPr>
      </w:r>
    </w:p>
    <w:p w:rsidR="00000000" w:rsidDel="00000000" w:rsidP="00000000" w:rsidRDefault="00000000" w:rsidRPr="00000000" w14:paraId="00000023">
      <w:pPr>
        <w:spacing w:after="200" w:before="200" w:line="240" w:lineRule="auto"/>
        <w:ind w:left="0" w:firstLine="0"/>
        <w:jc w:val="both"/>
        <w:rPr>
          <w:rFonts w:ascii="Times New Roman" w:cs="Times New Roman" w:eastAsia="Times New Roman" w:hAnsi="Times New Roman"/>
          <w:color w:val="202124"/>
          <w:sz w:val="24"/>
          <w:szCs w:val="24"/>
          <w:highlight w:val="white"/>
        </w:rPr>
      </w:pPr>
      <w:r w:rsidDel="00000000" w:rsidR="00000000" w:rsidRPr="00000000">
        <w:rPr>
          <w:rFonts w:ascii="Times New Roman" w:cs="Times New Roman" w:eastAsia="Times New Roman" w:hAnsi="Times New Roman"/>
          <w:color w:val="202124"/>
          <w:sz w:val="24"/>
          <w:szCs w:val="24"/>
          <w:highlight w:val="white"/>
          <w:rtl w:val="0"/>
        </w:rPr>
        <w:t xml:space="preserve">Existen algunos reportes de investigación que relatan el uso de estrategias de gestión del conocimiento para la solución de problemas específicos y la toma de decisiones en el ámbito de la Educación Superior, como el caso de una Universidad Norteamericana ante la pandemia COVID 19 (Calcado et al, 2022). La mayoría de los estudios publicados tienden a describir estrategias utilizadas para implementar o desarrollar sistemas de gestión del conocimiento,  tienen un énfasis en el aspecto tecnológico de la gestión del conocimiento, y ‘paradójicamente’ relatan procesos orientados de manera específica a aspectos o bien administrativos, o técnicos; más no los relacionados con los procesos de generación del conocimiento a través de la investigación. </w:t>
      </w:r>
    </w:p>
    <w:p w:rsidR="00000000" w:rsidDel="00000000" w:rsidP="00000000" w:rsidRDefault="00000000" w:rsidRPr="00000000" w14:paraId="00000024">
      <w:pPr>
        <w:spacing w:after="200" w:before="20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En la actualidad, es fundamental que las Instituciones de Educación Superior relacionadas con Educación desarrollen conocimiento mediante metodologías sólidas y confiables que </w:t>
      </w:r>
      <w:r w:rsidDel="00000000" w:rsidR="00000000" w:rsidRPr="00000000">
        <w:rPr>
          <w:rFonts w:ascii="Times New Roman" w:cs="Times New Roman" w:eastAsia="Times New Roman" w:hAnsi="Times New Roman"/>
          <w:sz w:val="24"/>
          <w:szCs w:val="24"/>
          <w:highlight w:val="white"/>
          <w:rtl w:val="0"/>
        </w:rPr>
        <w:t xml:space="preserve">favorezcan el avance de los campos que atienden. </w:t>
      </w:r>
      <w:r w:rsidDel="00000000" w:rsidR="00000000" w:rsidRPr="00000000">
        <w:rPr>
          <w:rtl w:val="0"/>
        </w:rPr>
      </w:r>
    </w:p>
    <w:p w:rsidR="00000000" w:rsidDel="00000000" w:rsidP="00000000" w:rsidRDefault="00000000" w:rsidRPr="00000000" w14:paraId="00000025">
      <w:pPr>
        <w:spacing w:after="20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Yigsaw et al, (2022) refieren que las Instituciones de Educación Superior de los países desarrollados aseguran sus niveles de excelencia a través de estrategias de colaboración que les permiten fusionar los recursos que tienen a su disposición, con sus pares. Entre otras, mencionan las siguientes: 1) participan de fondos específicos para promover vinculaciones y desarrollar soluciones orientadas al desarrollo colaborativo en sus tareas de enseñanza e investigación,  estableciendo alianzas directamente con el sector económico y el industrial; 2) cuentan con sistemas administrativos y plataformas académicas desarrolladas en conjunto y que permiten la colaboración con otras instituciones similares a nivel nacional; y 3) almacenan sus resultados de investigación en repositorios que son puestos en común para su uso en el avance de los diversos campos de conocimiento. (p. 2)</w:t>
      </w:r>
    </w:p>
    <w:p w:rsidR="00000000" w:rsidDel="00000000" w:rsidP="00000000" w:rsidRDefault="00000000" w:rsidRPr="00000000" w14:paraId="00000026">
      <w:pPr>
        <w:spacing w:after="200" w:before="20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ANUIES (2016) se refiere a dichas alianzas entre universidades, gobiernos y empresas como ‘proyectos de triple hélice' y a su respecto enfatiza que las formas de generación y aplicación del conocimiento han roto las barreras disciplinarias de la complejidad del saber científico, al igual que ha sucedido con los modelos de formación profesional apoyados en las TIC.</w:t>
      </w:r>
    </w:p>
    <w:p w:rsidR="00000000" w:rsidDel="00000000" w:rsidP="00000000" w:rsidRDefault="00000000" w:rsidRPr="00000000" w14:paraId="00000027">
      <w:pPr>
        <w:spacing w:after="200" w:before="20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relevante resaltar la importancia que tendría desarrollar acciones similares en el contexto de la Educación Superior en países en vías de desarrollo (como México) y pensar en sistemas que permitan la colaboración y el desarrollo sostenible mediante la generación, la adquisición, la aplicación, el almacenaje, y la difusión del conocimiento tanto al interior de las organizaciones como hacia el exterior, potenciando el desarrollo en colaboración. Los resultados de diversas investigaciones sugieren que una creciente cantidad de Instituciones de Educación Superior así lo están haciendo alrededor del mundo. Los siguientes son algunos ejemplos: India (Bhusry et al, 2012), Arabia Saudita (Abdullah et al, 2005), Indonesia (Sulisworo, 2012), Pakistan (Iqbal et al, 2018), Sudáfrica (Steyn, 2004), Irán (Hasani, 2016),  Reino Unido (Cranfield, 2011), y Reino de Bahréin (Nawaz y Gomez, 2014).</w:t>
      </w: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i w:val="1"/>
          <w:sz w:val="26"/>
          <w:szCs w:val="26"/>
          <w:rtl w:val="0"/>
        </w:rPr>
        <w:t xml:space="preserve">1.2. Objetivos </w:t>
      </w:r>
      <w:r w:rsidDel="00000000" w:rsidR="00000000" w:rsidRPr="00000000">
        <w:rPr>
          <w:rFonts w:ascii="Times New Roman" w:cs="Times New Roman" w:eastAsia="Times New Roman" w:hAnsi="Times New Roman"/>
          <w:i w:val="1"/>
          <w:sz w:val="26"/>
          <w:szCs w:val="26"/>
          <w:rtl w:val="0"/>
        </w:rPr>
        <w:br w:type="textWrapping"/>
      </w: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1.2.1. Objetivo General</w:t>
      </w:r>
    </w:p>
    <w:p w:rsidR="00000000" w:rsidDel="00000000" w:rsidP="00000000" w:rsidRDefault="00000000" w:rsidRPr="00000000" w14:paraId="0000002B">
      <w:pPr>
        <w:spacing w:after="200" w:before="240"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El presente estudio tiene como finalidad explorar, describir, y analizar los procesos de gestión de conocimiento </w:t>
      </w:r>
      <w:r w:rsidDel="00000000" w:rsidR="00000000" w:rsidRPr="00000000">
        <w:rPr>
          <w:rFonts w:ascii="Times New Roman" w:cs="Times New Roman" w:eastAsia="Times New Roman" w:hAnsi="Times New Roman"/>
          <w:sz w:val="24"/>
          <w:szCs w:val="24"/>
          <w:rtl w:val="0"/>
        </w:rPr>
        <w:t xml:space="preserve">desarrollados por un grupo de especialistas en Matemática Educativa en el contexto de la producción de conocimiento a través de la investigación</w:t>
      </w:r>
      <w:r w:rsidDel="00000000" w:rsidR="00000000" w:rsidRPr="00000000">
        <w:rPr>
          <w:rFonts w:ascii="Times New Roman" w:cs="Times New Roman" w:eastAsia="Times New Roman" w:hAnsi="Times New Roman"/>
          <w:sz w:val="24"/>
          <w:szCs w:val="24"/>
          <w:highlight w:val="white"/>
          <w:rtl w:val="0"/>
        </w:rPr>
        <w:t xml:space="preserve">, para lo que se han generado los siguientes objetivos específicos:</w:t>
      </w: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1.2.2. Objetivos Específicos</w:t>
      </w:r>
    </w:p>
    <w:p w:rsidR="00000000" w:rsidDel="00000000" w:rsidP="00000000" w:rsidRDefault="00000000" w:rsidRPr="00000000" w14:paraId="0000002D">
      <w:pPr>
        <w:spacing w:after="200" w:before="240"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Describir los procesos de construcción de conocimiento desarrollados por el grupo estudiado.</w:t>
      </w:r>
    </w:p>
    <w:p w:rsidR="00000000" w:rsidDel="00000000" w:rsidP="00000000" w:rsidRDefault="00000000" w:rsidRPr="00000000" w14:paraId="0000002E">
      <w:pPr>
        <w:spacing w:after="200" w:before="240"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Comprender las formas de interacción y comunicación utilizadas para el desarrollo de investigación y generación de conocimiento.</w:t>
      </w:r>
    </w:p>
    <w:p w:rsidR="00000000" w:rsidDel="00000000" w:rsidP="00000000" w:rsidRDefault="00000000" w:rsidRPr="00000000" w14:paraId="0000002F">
      <w:pPr>
        <w:spacing w:after="200" w:before="240"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Analizar los procesos de gestión del conocimiento identificados en relación a los modelos teóricos de gestión del conocimiento, la guía de buenas prácticas </w:t>
      </w:r>
      <w:r w:rsidDel="00000000" w:rsidR="00000000" w:rsidRPr="00000000">
        <w:rPr>
          <w:rFonts w:ascii="Times New Roman" w:cs="Times New Roman" w:eastAsia="Times New Roman" w:hAnsi="Times New Roman"/>
          <w:i w:val="1"/>
          <w:sz w:val="24"/>
          <w:szCs w:val="24"/>
          <w:rtl w:val="0"/>
        </w:rPr>
        <w:t xml:space="preserve">The European Guide to Good Practice in Knowledge Management</w:t>
      </w:r>
      <w:r w:rsidDel="00000000" w:rsidR="00000000" w:rsidRPr="00000000">
        <w:rPr>
          <w:rFonts w:ascii="Times New Roman" w:cs="Times New Roman" w:eastAsia="Times New Roman" w:hAnsi="Times New Roman"/>
          <w:sz w:val="24"/>
          <w:szCs w:val="24"/>
          <w:rtl w:val="0"/>
        </w:rPr>
        <w:t xml:space="preserve"> (del Comité Européen de Normalization), y las normas </w:t>
      </w:r>
      <w:r w:rsidDel="00000000" w:rsidR="00000000" w:rsidRPr="00000000">
        <w:rPr>
          <w:rFonts w:ascii="Times New Roman" w:cs="Times New Roman" w:eastAsia="Times New Roman" w:hAnsi="Times New Roman"/>
          <w:i w:val="1"/>
          <w:sz w:val="24"/>
          <w:szCs w:val="24"/>
          <w:rtl w:val="0"/>
        </w:rPr>
        <w:t xml:space="preserve">UNE 412001:2008 IN</w:t>
      </w:r>
      <w:r w:rsidDel="00000000" w:rsidR="00000000" w:rsidRPr="00000000">
        <w:rPr>
          <w:rFonts w:ascii="Times New Roman" w:cs="Times New Roman" w:eastAsia="Times New Roman" w:hAnsi="Times New Roman"/>
          <w:sz w:val="24"/>
          <w:szCs w:val="24"/>
          <w:rtl w:val="0"/>
        </w:rPr>
        <w:t xml:space="preserve"> de Gestión del Conocimiento y</w:t>
      </w:r>
      <w:r w:rsidDel="00000000" w:rsidR="00000000" w:rsidRPr="00000000">
        <w:rPr>
          <w:rFonts w:ascii="Times New Roman" w:cs="Times New Roman" w:eastAsia="Times New Roman" w:hAnsi="Times New Roman"/>
          <w:i w:val="1"/>
          <w:sz w:val="24"/>
          <w:szCs w:val="24"/>
          <w:rtl w:val="0"/>
        </w:rPr>
        <w:t xml:space="preserve"> UNE 166002:2021</w:t>
      </w:r>
      <w:r w:rsidDel="00000000" w:rsidR="00000000" w:rsidRPr="00000000">
        <w:rPr>
          <w:rFonts w:ascii="Times New Roman" w:cs="Times New Roman" w:eastAsia="Times New Roman" w:hAnsi="Times New Roman"/>
          <w:sz w:val="24"/>
          <w:szCs w:val="24"/>
          <w:rtl w:val="0"/>
        </w:rPr>
        <w:t xml:space="preserve"> de gestión de la investigación, el desarrollo y la innovación (de la Asociación Española de Normalización y Certificación).</w:t>
      </w: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1.3. Metodología </w:t>
      </w:r>
      <w:r w:rsidDel="00000000" w:rsidR="00000000" w:rsidRPr="00000000">
        <w:rPr>
          <w:rtl w:val="0"/>
        </w:rPr>
      </w:r>
    </w:p>
    <w:p w:rsidR="00000000" w:rsidDel="00000000" w:rsidP="00000000" w:rsidRDefault="00000000" w:rsidRPr="00000000" w14:paraId="00000032">
      <w:pPr>
        <w:spacing w:after="200" w:before="240"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estudio se desarrollará mediante una metodología de estudio de caso bajo enfoque cualitativo. Se recopilarán datos a través de entrevistas semiestructuradas con una muestra de integrantes del grupo de docentes investigadores. La estrategia metodológica de caso permitirá una exploración detallada y profunda de las prácticas de gestión del conocimiento utilizadas por el grupo estudiado y proporcionará una rica comprensión de los desafíos y las mejores prácticas para la gestión del conocimiento en entornos de investigación. </w:t>
      </w:r>
    </w:p>
    <w:p w:rsidR="00000000" w:rsidDel="00000000" w:rsidP="00000000" w:rsidRDefault="00000000" w:rsidRPr="00000000" w14:paraId="00000033">
      <w:pPr>
        <w:spacing w:after="20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recolección de datos se llevará a cabo por medio de entrevistas semi estructuradas con miembros del grupo de investigación. Las entrevistas se desarrollarán en persona y a través de videollamadas.  </w:t>
      </w:r>
    </w:p>
    <w:p w:rsidR="00000000" w:rsidDel="00000000" w:rsidP="00000000" w:rsidRDefault="00000000" w:rsidRPr="00000000" w14:paraId="00000034">
      <w:pPr>
        <w:spacing w:after="200"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guía de entrevista se basará en las preguntas de investigación y se conformará por secciones que cubran los temas relacionados con: 1) la cultura organizacional para la gestión del conocimiento, y 2) las actividades de conocimiento (creación de nuevo conocimiento, identificación del conocimiento, captura del conocimiento, adaptación del conocimiento, organización del conocimiento, almacenamiento del conocimiento,  difusión del conocimiento, y aplicación del conocimiento), tomando como base la norma UNE 412001 IN de AENOR (Asociación Española de Normalización y Certificación, 2008); y, por otro lado 3) las estructuras habilitadoras de los procesos de gestión del conocimiento, así como 3) las capacidades y comportamientos individuales útiles en la gestión del conocimiento reconocidas en The European Guide to Good Practice in Knowledge Management (DE NORMALISATION, C. E., &amp; NORMUNG, E. K. F.,2004).</w:t>
      </w:r>
    </w:p>
    <w:p w:rsidR="00000000" w:rsidDel="00000000" w:rsidP="00000000" w:rsidRDefault="00000000" w:rsidRPr="00000000" w14:paraId="00000035">
      <w:pPr>
        <w:spacing w:after="200" w:before="240" w:line="24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1.4. Resultados esperados</w:t>
      </w:r>
    </w:p>
    <w:p w:rsidR="00000000" w:rsidDel="00000000" w:rsidP="00000000" w:rsidRDefault="00000000" w:rsidRPr="00000000" w14:paraId="00000037">
      <w:pPr>
        <w:spacing w:after="200" w:before="240" w:line="24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vislumbra que los resultados de la investigación abonarán a la producción de conocimiento sobre la GC en el campo de la Educación Superior, con énfasis en los procesos de generación del conocimiento a través de la investigación. </w:t>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Además, de manera particular, la caracterización del grupo de investigación y el diagnóstico del estado de madurez de las prácticas de GC permitirá conocer el estado de los procesos de GC, y al mismo tiempo, generar insumos susceptibles de ser aprovechados por las comunidades de práctica en las que colaboran estudiantes y docentes investigadores del programa de especialización estudiado y de otras Instituciones de Educación Superior con las que mantienen vínculos, mediante la planeación de procesos de gestión del conocimiento que habrán de mejorar el aprovechamiento del Capital Intelectual disponible al servicio de la investigación. </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6"/>
          <w:szCs w:val="26"/>
          <w:rtl w:val="0"/>
        </w:rPr>
        <w:t xml:space="preserve">REFERENCIAS </w:t>
      </w:r>
      <w:r w:rsidDel="00000000" w:rsidR="00000000" w:rsidRPr="00000000">
        <w:rPr>
          <w:rtl w:val="0"/>
        </w:rPr>
      </w:r>
    </w:p>
    <w:p w:rsidR="00000000" w:rsidDel="00000000" w:rsidP="00000000" w:rsidRDefault="00000000" w:rsidRPr="00000000" w14:paraId="0000003B">
      <w:pPr>
        <w:spacing w:after="200" w:before="240"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Abdullah, R., Sahibudin, S., Alias, R. A., &amp; Selamat, M. H. (2005). Collaborative knowledge management systems for learning organizations. Journal of Information &amp; Knowledge Management, 4(04), 237-245.ANUIES (2016). Plan de desarrollo institucional. Visión 2030.</w:t>
      </w:r>
    </w:p>
    <w:p w:rsidR="00000000" w:rsidDel="00000000" w:rsidP="00000000" w:rsidRDefault="00000000" w:rsidRPr="00000000" w14:paraId="0000003C">
      <w:pPr>
        <w:spacing w:after="200"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Asociación Española de Normalización y Certificación. (2008). Guía práctica de gestión del conocimiento: Informe UNE 412001 IN. Madrid, España: AENOR.</w:t>
      </w:r>
    </w:p>
    <w:p w:rsidR="00000000" w:rsidDel="00000000" w:rsidP="00000000" w:rsidRDefault="00000000" w:rsidRPr="00000000" w14:paraId="0000003D">
      <w:pPr>
        <w:spacing w:after="200"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Bhusry, M., y Ranjan, J. (2012). Enhancing the teaching-learning process: a knowledge management approach. International Journal of Educational Management.</w:t>
      </w:r>
    </w:p>
    <w:p w:rsidR="00000000" w:rsidDel="00000000" w:rsidP="00000000" w:rsidRDefault="00000000" w:rsidRPr="00000000" w14:paraId="0000003E">
      <w:pPr>
        <w:spacing w:after="200" w:line="24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Calcado, A. M., Gracias, V., Ruben, B. D., St Pierre, J., &amp; Strom, B. L. (2022). How One University Harnessed Internal Knowledge and Expertise to Effectively Combat the COVID-19 Pandemic. Electronic Journal of Knowledge Management, 20(1).</w:t>
      </w:r>
    </w:p>
    <w:p w:rsidR="00000000" w:rsidDel="00000000" w:rsidP="00000000" w:rsidRDefault="00000000" w:rsidRPr="00000000" w14:paraId="0000003F">
      <w:pPr>
        <w:spacing w:after="200" w:line="240" w:lineRule="auto"/>
        <w:ind w:left="54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Cranfield, D. (2011). Knowledge management and higher education: A UK case study using grounded theory (Doctoral dissertation, University of Southampton).</w:t>
      </w:r>
    </w:p>
    <w:p w:rsidR="00000000" w:rsidDel="00000000" w:rsidP="00000000" w:rsidRDefault="00000000" w:rsidRPr="00000000" w14:paraId="00000040">
      <w:pPr>
        <w:spacing w:after="200" w:line="240" w:lineRule="auto"/>
        <w:ind w:left="54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DE NORMALISATION, C. E., &amp; NORMUNG, E. K. F. (2004). European Guide to good Practice in Knowledge Management-Part 1: Knowledge Management Framework. </w:t>
      </w:r>
      <w:r w:rsidDel="00000000" w:rsidR="00000000" w:rsidRPr="00000000">
        <w:rPr>
          <w:rFonts w:ascii="Times New Roman" w:cs="Times New Roman" w:eastAsia="Times New Roman" w:hAnsi="Times New Roman"/>
          <w:i w:val="1"/>
          <w:color w:val="222222"/>
          <w:sz w:val="24"/>
          <w:szCs w:val="24"/>
          <w:rtl w:val="0"/>
        </w:rPr>
        <w:t xml:space="preserve">CWA, European Committee For Standardization</w:t>
      </w:r>
      <w:r w:rsidDel="00000000" w:rsidR="00000000" w:rsidRPr="00000000">
        <w:rPr>
          <w:rFonts w:ascii="Times New Roman" w:cs="Times New Roman" w:eastAsia="Times New Roman" w:hAnsi="Times New Roman"/>
          <w:color w:val="222222"/>
          <w:sz w:val="24"/>
          <w:szCs w:val="24"/>
          <w:rtl w:val="0"/>
        </w:rPr>
        <w:t xml:space="preserve">.</w:t>
      </w:r>
    </w:p>
    <w:p w:rsidR="00000000" w:rsidDel="00000000" w:rsidP="00000000" w:rsidRDefault="00000000" w:rsidRPr="00000000" w14:paraId="00000041">
      <w:pPr>
        <w:spacing w:after="200" w:line="240" w:lineRule="auto"/>
        <w:ind w:left="54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Hasani, K., &amp; Sheikhesmaeili, S. (2016). Knowledge management and employee empowerment: A study of higher education institutions. Kybernetes.</w:t>
      </w:r>
    </w:p>
    <w:p w:rsidR="00000000" w:rsidDel="00000000" w:rsidP="00000000" w:rsidRDefault="00000000" w:rsidRPr="00000000" w14:paraId="00000042">
      <w:pPr>
        <w:spacing w:after="200" w:line="240" w:lineRule="auto"/>
        <w:ind w:left="54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Iqbal, A., Latif, F., Marimon, F., Sahibzada, U. F., &amp; Hussain, S. (2018). From knowledge management to organizational performance: Modeling the mediating role of innovation and intellectual capital in higher education. Journal of Enterprise Information Management.Nawaz, Nawaz, N., &amp; Gomes, A. M. (2014). Review of knowledge management in higher education institutions. European journal of business and management, 6(7).</w:t>
      </w:r>
    </w:p>
    <w:p w:rsidR="00000000" w:rsidDel="00000000" w:rsidP="00000000" w:rsidRDefault="00000000" w:rsidRPr="00000000" w14:paraId="00000043">
      <w:pPr>
        <w:spacing w:after="200" w:line="240" w:lineRule="auto"/>
        <w:ind w:left="54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Steyn, G. M. (2004). Harnessing the power of knowledge in higher education.</w:t>
      </w:r>
    </w:p>
    <w:p w:rsidR="00000000" w:rsidDel="00000000" w:rsidP="00000000" w:rsidRDefault="00000000" w:rsidRPr="00000000" w14:paraId="00000044">
      <w:pPr>
        <w:spacing w:after="200" w:line="240" w:lineRule="auto"/>
        <w:ind w:left="54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Sulisworo, D. (2012). Enabling ICT and knowledge management to enhance competitiveness of higher education institutions. International journal of Education, 4(1), 112-121.</w:t>
      </w:r>
    </w:p>
    <w:p w:rsidR="00000000" w:rsidDel="00000000" w:rsidP="00000000" w:rsidRDefault="00000000" w:rsidRPr="00000000" w14:paraId="00000045">
      <w:pPr>
        <w:ind w:left="540" w:firstLine="0"/>
        <w:jc w:val="both"/>
        <w:rPr>
          <w:color w:val="222222"/>
          <w:sz w:val="20"/>
          <w:szCs w:val="20"/>
          <w:highlight w:val="cyan"/>
        </w:rPr>
      </w:pPr>
      <w:r w:rsidDel="00000000" w:rsidR="00000000" w:rsidRPr="00000000">
        <w:rPr>
          <w:rtl w:val="0"/>
        </w:rPr>
      </w:r>
    </w:p>
    <w:p w:rsidR="00000000" w:rsidDel="00000000" w:rsidP="00000000" w:rsidRDefault="00000000" w:rsidRPr="00000000" w14:paraId="00000046">
      <w:pPr>
        <w:ind w:left="54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32"/>
          <w:szCs w:val="32"/>
        </w:rPr>
      </w:pPr>
      <w:r w:rsidDel="00000000" w:rsidR="00000000" w:rsidRPr="00000000">
        <w:rPr>
          <w:rtl w:val="0"/>
        </w:rPr>
      </w:r>
    </w:p>
    <w:sectPr>
      <w:pgSz w:h="16838" w:w="11906" w:orient="portrait"/>
      <w:pgMar w:bottom="1417.3228346456694" w:top="1417.3228346456694" w:left="1417.3228346456694" w:right="1417.32283464566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lejandro.arrington@um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