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597D" w14:textId="77777777" w:rsidR="001B4B84" w:rsidRDefault="00000000">
      <w:pPr>
        <w:pStyle w:val="Ttulo"/>
        <w:rPr>
          <w:color w:val="76923C"/>
        </w:rPr>
      </w:pPr>
      <w:r>
        <w:t xml:space="preserve">HOJA DE ESTILO PARA </w:t>
      </w:r>
      <w:r>
        <w:rPr>
          <w:color w:val="76923C"/>
        </w:rPr>
        <w:t>COMUNICACIONES</w:t>
      </w:r>
      <w:r>
        <w:t xml:space="preserve"> Y </w:t>
      </w:r>
      <w:r>
        <w:rPr>
          <w:color w:val="76923C"/>
        </w:rPr>
        <w:t>PÓSTERS</w:t>
      </w:r>
    </w:p>
    <w:p w14:paraId="7E75F9E8" w14:textId="77777777" w:rsidR="001B4B84" w:rsidRDefault="00000000">
      <w:pPr>
        <w:pStyle w:val="Ttulo"/>
        <w:rPr>
          <w:color w:val="76923C"/>
        </w:rPr>
      </w:pPr>
      <w:r>
        <w:rPr>
          <w:color w:val="76923C"/>
        </w:rPr>
        <w:t>INVESTIGACIÓN</w:t>
      </w:r>
    </w:p>
    <w:p w14:paraId="0F012FE5" w14:textId="77777777" w:rsidR="001B4B84" w:rsidRDefault="001B4B84">
      <w:pPr>
        <w:pStyle w:val="Ttulo"/>
        <w:rPr>
          <w:sz w:val="2"/>
          <w:szCs w:val="2"/>
        </w:rPr>
      </w:pPr>
    </w:p>
    <w:p w14:paraId="3B972C59" w14:textId="77777777" w:rsidR="001B4B84" w:rsidRDefault="00000000">
      <w:pPr>
        <w:pStyle w:val="Ttulo"/>
        <w:jc w:val="both"/>
        <w:rPr>
          <w:b w:val="0"/>
          <w:i/>
          <w:sz w:val="16"/>
          <w:szCs w:val="16"/>
        </w:rPr>
      </w:pPr>
      <w:r>
        <w:t xml:space="preserve">Tipo de aportación: </w:t>
      </w:r>
      <w:r>
        <w:rPr>
          <w:b w:val="0"/>
          <w:i/>
          <w:sz w:val="16"/>
          <w:szCs w:val="16"/>
        </w:rPr>
        <w:t>Marque con una X el tipo de aportación que presenta.</w:t>
      </w:r>
    </w:p>
    <w:tbl>
      <w:tblPr>
        <w:tblStyle w:val="a4"/>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1B4B84" w14:paraId="1ED5C1E8" w14:textId="77777777">
        <w:trPr>
          <w:trHeight w:val="451"/>
        </w:trPr>
        <w:tc>
          <w:tcPr>
            <w:tcW w:w="709" w:type="dxa"/>
          </w:tcPr>
          <w:p w14:paraId="318D291A" w14:textId="77777777" w:rsidR="001B4B84" w:rsidRDefault="00000000">
            <w:pPr>
              <w:pStyle w:val="Ttulo"/>
              <w:rPr>
                <w:sz w:val="16"/>
                <w:szCs w:val="16"/>
              </w:rPr>
            </w:pPr>
            <w:r>
              <w:rPr>
                <w:sz w:val="16"/>
                <w:szCs w:val="16"/>
              </w:rPr>
              <w:t>x</w:t>
            </w:r>
          </w:p>
        </w:tc>
        <w:tc>
          <w:tcPr>
            <w:tcW w:w="6804" w:type="dxa"/>
            <w:vAlign w:val="center"/>
          </w:tcPr>
          <w:p w14:paraId="0F6E8AF6" w14:textId="77777777" w:rsidR="001B4B84" w:rsidRDefault="00000000">
            <w:pPr>
              <w:pStyle w:val="Ttulo"/>
              <w:jc w:val="left"/>
              <w:rPr>
                <w:sz w:val="16"/>
                <w:szCs w:val="16"/>
              </w:rPr>
            </w:pPr>
            <w:r>
              <w:rPr>
                <w:sz w:val="16"/>
                <w:szCs w:val="16"/>
              </w:rPr>
              <w:t>Comunicación - Investigación</w:t>
            </w:r>
          </w:p>
        </w:tc>
      </w:tr>
      <w:tr w:rsidR="001B4B84" w14:paraId="03057294" w14:textId="77777777">
        <w:trPr>
          <w:trHeight w:val="451"/>
        </w:trPr>
        <w:tc>
          <w:tcPr>
            <w:tcW w:w="709" w:type="dxa"/>
          </w:tcPr>
          <w:p w14:paraId="097CA026" w14:textId="77777777" w:rsidR="001B4B84" w:rsidRDefault="001B4B84">
            <w:pPr>
              <w:pStyle w:val="Ttulo"/>
              <w:rPr>
                <w:sz w:val="16"/>
                <w:szCs w:val="16"/>
              </w:rPr>
            </w:pPr>
          </w:p>
        </w:tc>
        <w:tc>
          <w:tcPr>
            <w:tcW w:w="6804" w:type="dxa"/>
            <w:vAlign w:val="center"/>
          </w:tcPr>
          <w:p w14:paraId="0D18947F" w14:textId="77777777" w:rsidR="001B4B84" w:rsidRDefault="00000000">
            <w:pPr>
              <w:pStyle w:val="Ttulo"/>
              <w:jc w:val="left"/>
              <w:rPr>
                <w:sz w:val="16"/>
                <w:szCs w:val="16"/>
              </w:rPr>
            </w:pPr>
            <w:r>
              <w:rPr>
                <w:sz w:val="16"/>
                <w:szCs w:val="16"/>
              </w:rPr>
              <w:t>Póster - Investigación</w:t>
            </w:r>
          </w:p>
        </w:tc>
      </w:tr>
    </w:tbl>
    <w:p w14:paraId="03095237" w14:textId="77777777" w:rsidR="001B4B84" w:rsidRDefault="00000000">
      <w:pPr>
        <w:pStyle w:val="Ttulo"/>
        <w:jc w:val="both"/>
        <w:rPr>
          <w:b w:val="0"/>
          <w:i/>
          <w:sz w:val="16"/>
          <w:szCs w:val="16"/>
        </w:rPr>
      </w:pPr>
      <w:r>
        <w:t xml:space="preserve">Temática de la aportación: </w:t>
      </w:r>
      <w:r>
        <w:rPr>
          <w:b w:val="0"/>
          <w:i/>
          <w:sz w:val="16"/>
          <w:szCs w:val="16"/>
        </w:rPr>
        <w:t>Marque con una X la temática de la aportación que realiza.</w:t>
      </w:r>
    </w:p>
    <w:tbl>
      <w:tblPr>
        <w:tblStyle w:val="a5"/>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1B4B84" w14:paraId="4A6990FA" w14:textId="77777777">
        <w:trPr>
          <w:trHeight w:val="451"/>
        </w:trPr>
        <w:tc>
          <w:tcPr>
            <w:tcW w:w="709" w:type="dxa"/>
          </w:tcPr>
          <w:p w14:paraId="17A3AF2C" w14:textId="77777777" w:rsidR="001B4B84" w:rsidRDefault="00000000">
            <w:pPr>
              <w:pStyle w:val="Ttulo"/>
              <w:rPr>
                <w:sz w:val="16"/>
                <w:szCs w:val="16"/>
              </w:rPr>
            </w:pPr>
            <w:r>
              <w:rPr>
                <w:sz w:val="16"/>
                <w:szCs w:val="16"/>
              </w:rPr>
              <w:t>x</w:t>
            </w:r>
          </w:p>
        </w:tc>
        <w:tc>
          <w:tcPr>
            <w:tcW w:w="6804" w:type="dxa"/>
          </w:tcPr>
          <w:p w14:paraId="7D83F561" w14:textId="77777777" w:rsidR="001B4B84" w:rsidRDefault="00000000">
            <w:pPr>
              <w:pStyle w:val="Ttulo"/>
              <w:jc w:val="left"/>
              <w:rPr>
                <w:sz w:val="16"/>
                <w:szCs w:val="16"/>
              </w:rPr>
            </w:pPr>
            <w:r>
              <w:rPr>
                <w:sz w:val="16"/>
                <w:szCs w:val="16"/>
              </w:rPr>
              <w:t>Aprendizaje y desarrollo profesional en la Sociedad 5.0</w:t>
            </w:r>
          </w:p>
        </w:tc>
      </w:tr>
      <w:tr w:rsidR="001B4B84" w14:paraId="37FF5CEB" w14:textId="77777777">
        <w:trPr>
          <w:trHeight w:val="451"/>
        </w:trPr>
        <w:tc>
          <w:tcPr>
            <w:tcW w:w="709" w:type="dxa"/>
          </w:tcPr>
          <w:p w14:paraId="4EEBAF7F" w14:textId="77777777" w:rsidR="001B4B84" w:rsidRDefault="001B4B84">
            <w:pPr>
              <w:pStyle w:val="Ttulo"/>
              <w:rPr>
                <w:sz w:val="16"/>
                <w:szCs w:val="16"/>
              </w:rPr>
            </w:pPr>
          </w:p>
        </w:tc>
        <w:tc>
          <w:tcPr>
            <w:tcW w:w="6804" w:type="dxa"/>
          </w:tcPr>
          <w:p w14:paraId="42B86B76" w14:textId="77777777" w:rsidR="001B4B84" w:rsidRDefault="00000000">
            <w:pPr>
              <w:pStyle w:val="Ttulo"/>
              <w:jc w:val="left"/>
              <w:rPr>
                <w:sz w:val="16"/>
                <w:szCs w:val="16"/>
              </w:rPr>
            </w:pPr>
            <w:r>
              <w:rPr>
                <w:sz w:val="16"/>
                <w:szCs w:val="16"/>
              </w:rPr>
              <w:t>Gobernanza de Instituciones en la Sociedad 5.0</w:t>
            </w:r>
          </w:p>
        </w:tc>
      </w:tr>
      <w:tr w:rsidR="001B4B84" w14:paraId="12718CF1" w14:textId="77777777">
        <w:trPr>
          <w:trHeight w:val="451"/>
        </w:trPr>
        <w:tc>
          <w:tcPr>
            <w:tcW w:w="709" w:type="dxa"/>
          </w:tcPr>
          <w:p w14:paraId="5A9C6F0C" w14:textId="77777777" w:rsidR="001B4B84" w:rsidRDefault="001B4B84">
            <w:pPr>
              <w:pStyle w:val="Ttulo"/>
              <w:rPr>
                <w:sz w:val="16"/>
                <w:szCs w:val="16"/>
              </w:rPr>
            </w:pPr>
          </w:p>
        </w:tc>
        <w:tc>
          <w:tcPr>
            <w:tcW w:w="6804" w:type="dxa"/>
          </w:tcPr>
          <w:p w14:paraId="3E5D0ABB" w14:textId="77777777" w:rsidR="001B4B84" w:rsidRDefault="00000000">
            <w:pPr>
              <w:pStyle w:val="Ttulo"/>
              <w:jc w:val="left"/>
              <w:rPr>
                <w:sz w:val="16"/>
                <w:szCs w:val="16"/>
              </w:rPr>
            </w:pPr>
            <w:r>
              <w:rPr>
                <w:sz w:val="16"/>
                <w:szCs w:val="16"/>
              </w:rPr>
              <w:t>Herramientas y habilidades digitales en las Organizaciones</w:t>
            </w:r>
          </w:p>
        </w:tc>
      </w:tr>
      <w:tr w:rsidR="001B4B84" w14:paraId="096422AF" w14:textId="77777777">
        <w:trPr>
          <w:trHeight w:val="451"/>
        </w:trPr>
        <w:tc>
          <w:tcPr>
            <w:tcW w:w="709" w:type="dxa"/>
          </w:tcPr>
          <w:p w14:paraId="2938A755" w14:textId="77777777" w:rsidR="001B4B84" w:rsidRDefault="001B4B84">
            <w:pPr>
              <w:pStyle w:val="Ttulo"/>
              <w:rPr>
                <w:sz w:val="16"/>
                <w:szCs w:val="16"/>
              </w:rPr>
            </w:pPr>
          </w:p>
        </w:tc>
        <w:tc>
          <w:tcPr>
            <w:tcW w:w="6804" w:type="dxa"/>
          </w:tcPr>
          <w:p w14:paraId="7D78410A" w14:textId="77777777" w:rsidR="001B4B84" w:rsidRDefault="00000000">
            <w:pPr>
              <w:pStyle w:val="Ttulo"/>
              <w:jc w:val="left"/>
              <w:rPr>
                <w:sz w:val="16"/>
                <w:szCs w:val="16"/>
              </w:rPr>
            </w:pPr>
            <w:r>
              <w:rPr>
                <w:sz w:val="16"/>
                <w:szCs w:val="16"/>
              </w:rPr>
              <w:t>Inteligencia artificial generativa: un aliado ante la transformación</w:t>
            </w:r>
          </w:p>
        </w:tc>
      </w:tr>
      <w:tr w:rsidR="001B4B84" w14:paraId="7791D57C" w14:textId="77777777">
        <w:trPr>
          <w:trHeight w:val="451"/>
        </w:trPr>
        <w:tc>
          <w:tcPr>
            <w:tcW w:w="709" w:type="dxa"/>
          </w:tcPr>
          <w:p w14:paraId="61934566" w14:textId="77777777" w:rsidR="001B4B84" w:rsidRDefault="001B4B84">
            <w:pPr>
              <w:pStyle w:val="Ttulo"/>
              <w:rPr>
                <w:sz w:val="16"/>
                <w:szCs w:val="16"/>
              </w:rPr>
            </w:pPr>
          </w:p>
        </w:tc>
        <w:tc>
          <w:tcPr>
            <w:tcW w:w="6804" w:type="dxa"/>
          </w:tcPr>
          <w:p w14:paraId="69DA523D" w14:textId="77777777" w:rsidR="001B4B84" w:rsidRDefault="00000000">
            <w:pPr>
              <w:pStyle w:val="Ttulo"/>
              <w:jc w:val="left"/>
              <w:rPr>
                <w:sz w:val="16"/>
                <w:szCs w:val="16"/>
              </w:rPr>
            </w:pPr>
            <w:r>
              <w:rPr>
                <w:sz w:val="16"/>
                <w:szCs w:val="16"/>
              </w:rPr>
              <w:t xml:space="preserve">Convergencia entre la organización formal e informal en las Organizaciones </w:t>
            </w:r>
          </w:p>
        </w:tc>
      </w:tr>
      <w:tr w:rsidR="001B4B84" w14:paraId="39EE8819" w14:textId="77777777">
        <w:trPr>
          <w:trHeight w:val="451"/>
        </w:trPr>
        <w:tc>
          <w:tcPr>
            <w:tcW w:w="709" w:type="dxa"/>
          </w:tcPr>
          <w:p w14:paraId="30B7E265" w14:textId="77777777" w:rsidR="001B4B84" w:rsidRDefault="001B4B84">
            <w:pPr>
              <w:pStyle w:val="Ttulo"/>
              <w:rPr>
                <w:sz w:val="16"/>
                <w:szCs w:val="16"/>
              </w:rPr>
            </w:pPr>
          </w:p>
        </w:tc>
        <w:tc>
          <w:tcPr>
            <w:tcW w:w="6804" w:type="dxa"/>
          </w:tcPr>
          <w:p w14:paraId="19750932" w14:textId="77777777" w:rsidR="001B4B84" w:rsidRDefault="00000000">
            <w:pPr>
              <w:pStyle w:val="Ttulo"/>
              <w:jc w:val="left"/>
              <w:rPr>
                <w:sz w:val="16"/>
                <w:szCs w:val="16"/>
              </w:rPr>
            </w:pPr>
            <w:r>
              <w:rPr>
                <w:sz w:val="16"/>
                <w:szCs w:val="16"/>
              </w:rPr>
              <w:t xml:space="preserve">Convergencia entre el mundo físico y el digital en las Organizaciones </w:t>
            </w:r>
          </w:p>
        </w:tc>
      </w:tr>
      <w:tr w:rsidR="001B4B84" w14:paraId="3E26AC0C" w14:textId="77777777">
        <w:trPr>
          <w:trHeight w:val="451"/>
        </w:trPr>
        <w:tc>
          <w:tcPr>
            <w:tcW w:w="709" w:type="dxa"/>
          </w:tcPr>
          <w:p w14:paraId="0EE8051F" w14:textId="77777777" w:rsidR="001B4B84" w:rsidRDefault="001B4B84">
            <w:pPr>
              <w:pStyle w:val="Ttulo"/>
              <w:rPr>
                <w:sz w:val="16"/>
                <w:szCs w:val="16"/>
              </w:rPr>
            </w:pPr>
          </w:p>
        </w:tc>
        <w:tc>
          <w:tcPr>
            <w:tcW w:w="6804" w:type="dxa"/>
          </w:tcPr>
          <w:p w14:paraId="76192829" w14:textId="77777777" w:rsidR="001B4B84" w:rsidRDefault="00000000">
            <w:pPr>
              <w:pStyle w:val="Ttulo"/>
              <w:jc w:val="left"/>
              <w:rPr>
                <w:sz w:val="16"/>
                <w:szCs w:val="16"/>
              </w:rPr>
            </w:pPr>
            <w:r>
              <w:rPr>
                <w:sz w:val="16"/>
                <w:szCs w:val="16"/>
              </w:rPr>
              <w:t xml:space="preserve">Liderazgos necesarios para la transformación </w:t>
            </w:r>
          </w:p>
        </w:tc>
      </w:tr>
      <w:tr w:rsidR="001B4B84" w14:paraId="5BDF2C24" w14:textId="77777777">
        <w:trPr>
          <w:trHeight w:val="451"/>
        </w:trPr>
        <w:tc>
          <w:tcPr>
            <w:tcW w:w="709" w:type="dxa"/>
          </w:tcPr>
          <w:p w14:paraId="6CA32BA3" w14:textId="77777777" w:rsidR="001B4B84" w:rsidRDefault="001B4B84">
            <w:pPr>
              <w:pStyle w:val="Ttulo"/>
              <w:rPr>
                <w:sz w:val="16"/>
                <w:szCs w:val="16"/>
              </w:rPr>
            </w:pPr>
          </w:p>
        </w:tc>
        <w:tc>
          <w:tcPr>
            <w:tcW w:w="6804" w:type="dxa"/>
          </w:tcPr>
          <w:p w14:paraId="4ACDFFE7" w14:textId="77777777" w:rsidR="001B4B84" w:rsidRDefault="00000000">
            <w:pPr>
              <w:pStyle w:val="Ttulo"/>
              <w:jc w:val="left"/>
              <w:rPr>
                <w:sz w:val="16"/>
                <w:szCs w:val="16"/>
              </w:rPr>
            </w:pPr>
            <w:r>
              <w:rPr>
                <w:sz w:val="16"/>
                <w:szCs w:val="16"/>
              </w:rPr>
              <w:t>Gestión del cambio y autonomía: personal y organizacional</w:t>
            </w:r>
          </w:p>
        </w:tc>
      </w:tr>
      <w:tr w:rsidR="001B4B84" w14:paraId="117F006F" w14:textId="77777777">
        <w:trPr>
          <w:trHeight w:val="451"/>
        </w:trPr>
        <w:tc>
          <w:tcPr>
            <w:tcW w:w="709" w:type="dxa"/>
          </w:tcPr>
          <w:p w14:paraId="1BAD3826" w14:textId="77777777" w:rsidR="001B4B84" w:rsidRDefault="001B4B84">
            <w:pPr>
              <w:pStyle w:val="Ttulo"/>
              <w:rPr>
                <w:sz w:val="16"/>
                <w:szCs w:val="16"/>
              </w:rPr>
            </w:pPr>
          </w:p>
        </w:tc>
        <w:tc>
          <w:tcPr>
            <w:tcW w:w="6804" w:type="dxa"/>
          </w:tcPr>
          <w:p w14:paraId="5F4FBFD4" w14:textId="77777777" w:rsidR="001B4B84" w:rsidRDefault="00000000">
            <w:pPr>
              <w:pStyle w:val="Ttulo"/>
              <w:jc w:val="left"/>
              <w:rPr>
                <w:sz w:val="16"/>
                <w:szCs w:val="16"/>
              </w:rPr>
            </w:pPr>
            <w:r>
              <w:rPr>
                <w:sz w:val="16"/>
                <w:szCs w:val="16"/>
              </w:rPr>
              <w:t>Ética y responsabilidad digital</w:t>
            </w:r>
          </w:p>
        </w:tc>
      </w:tr>
      <w:tr w:rsidR="001B4B84" w14:paraId="73F26906" w14:textId="77777777">
        <w:trPr>
          <w:trHeight w:val="451"/>
        </w:trPr>
        <w:tc>
          <w:tcPr>
            <w:tcW w:w="709" w:type="dxa"/>
          </w:tcPr>
          <w:p w14:paraId="504062B0" w14:textId="77777777" w:rsidR="001B4B84" w:rsidRDefault="001B4B84">
            <w:pPr>
              <w:pStyle w:val="Ttulo"/>
              <w:rPr>
                <w:sz w:val="16"/>
                <w:szCs w:val="16"/>
              </w:rPr>
            </w:pPr>
          </w:p>
        </w:tc>
        <w:tc>
          <w:tcPr>
            <w:tcW w:w="6804" w:type="dxa"/>
          </w:tcPr>
          <w:p w14:paraId="5116D4E6" w14:textId="77777777" w:rsidR="001B4B84" w:rsidRDefault="00000000">
            <w:pPr>
              <w:pStyle w:val="Ttulo"/>
              <w:jc w:val="left"/>
              <w:rPr>
                <w:sz w:val="16"/>
                <w:szCs w:val="16"/>
              </w:rPr>
            </w:pPr>
            <w:r>
              <w:rPr>
                <w:sz w:val="16"/>
                <w:szCs w:val="16"/>
              </w:rPr>
              <w:t xml:space="preserve">Experiencias transformadoras: Robótica educativa, Robots sociales, Realidad Virtual, Realidad aumentada, Simulaciones, Herramientas digitales para el </w:t>
            </w:r>
            <w:proofErr w:type="gramStart"/>
            <w:r>
              <w:rPr>
                <w:sz w:val="16"/>
                <w:szCs w:val="16"/>
              </w:rPr>
              <w:t>STEAM,…</w:t>
            </w:r>
            <w:proofErr w:type="gramEnd"/>
          </w:p>
        </w:tc>
      </w:tr>
    </w:tbl>
    <w:p w14:paraId="35B3F37B" w14:textId="77777777" w:rsidR="001B4B84" w:rsidRDefault="001B4B84">
      <w:pPr>
        <w:pBdr>
          <w:bottom w:val="single" w:sz="6" w:space="1" w:color="000000"/>
        </w:pBdr>
        <w:spacing w:line="240" w:lineRule="auto"/>
        <w:rPr>
          <w:rFonts w:ascii="Times New Roman" w:eastAsia="Times New Roman" w:hAnsi="Times New Roman"/>
          <w:b/>
        </w:rPr>
      </w:pPr>
    </w:p>
    <w:p w14:paraId="5392A66E" w14:textId="77777777" w:rsidR="00463D78" w:rsidRDefault="00463D78">
      <w:pPr>
        <w:pBdr>
          <w:bottom w:val="single" w:sz="6" w:space="1" w:color="000000"/>
        </w:pBdr>
        <w:spacing w:line="240" w:lineRule="auto"/>
        <w:rPr>
          <w:rFonts w:ascii="Times New Roman" w:eastAsia="Times New Roman" w:hAnsi="Times New Roman"/>
          <w:b/>
        </w:rPr>
      </w:pPr>
    </w:p>
    <w:p w14:paraId="0C6B9DEA" w14:textId="77777777" w:rsidR="00463D78" w:rsidRDefault="00463D78">
      <w:pPr>
        <w:pBdr>
          <w:bottom w:val="single" w:sz="6" w:space="1" w:color="000000"/>
        </w:pBdr>
        <w:spacing w:line="240" w:lineRule="auto"/>
        <w:rPr>
          <w:rFonts w:ascii="Times New Roman" w:eastAsia="Times New Roman" w:hAnsi="Times New Roman"/>
          <w:b/>
        </w:rPr>
      </w:pPr>
    </w:p>
    <w:p w14:paraId="6AB66BAC" w14:textId="77777777" w:rsidR="00463D78" w:rsidRDefault="00463D78">
      <w:pPr>
        <w:pBdr>
          <w:bottom w:val="single" w:sz="6" w:space="1" w:color="000000"/>
        </w:pBdr>
        <w:spacing w:line="240" w:lineRule="auto"/>
        <w:rPr>
          <w:rFonts w:ascii="Times New Roman" w:eastAsia="Times New Roman" w:hAnsi="Times New Roman"/>
          <w:b/>
        </w:rPr>
      </w:pPr>
    </w:p>
    <w:p w14:paraId="010BAE74" w14:textId="77777777" w:rsidR="00463D78" w:rsidRDefault="00463D78">
      <w:pPr>
        <w:pBdr>
          <w:bottom w:val="single" w:sz="6" w:space="1" w:color="000000"/>
        </w:pBdr>
        <w:spacing w:line="240" w:lineRule="auto"/>
        <w:rPr>
          <w:rFonts w:ascii="Times New Roman" w:eastAsia="Times New Roman" w:hAnsi="Times New Roman"/>
          <w:b/>
        </w:rPr>
      </w:pPr>
    </w:p>
    <w:p w14:paraId="3227A32C" w14:textId="77777777" w:rsidR="00463D78" w:rsidRDefault="00463D78">
      <w:pPr>
        <w:pBdr>
          <w:bottom w:val="single" w:sz="6" w:space="1" w:color="000000"/>
        </w:pBdr>
        <w:spacing w:line="240" w:lineRule="auto"/>
        <w:rPr>
          <w:rFonts w:ascii="Times New Roman" w:eastAsia="Times New Roman" w:hAnsi="Times New Roman"/>
          <w:b/>
        </w:rPr>
      </w:pPr>
    </w:p>
    <w:p w14:paraId="15251C14" w14:textId="77777777" w:rsidR="00463D78" w:rsidRDefault="00463D78">
      <w:pPr>
        <w:pBdr>
          <w:bottom w:val="single" w:sz="6" w:space="1" w:color="000000"/>
        </w:pBdr>
        <w:spacing w:line="240" w:lineRule="auto"/>
        <w:rPr>
          <w:rFonts w:ascii="Times New Roman" w:eastAsia="Times New Roman" w:hAnsi="Times New Roman"/>
          <w:b/>
        </w:rPr>
      </w:pPr>
    </w:p>
    <w:p w14:paraId="28B049D8" w14:textId="77777777" w:rsidR="00463D78" w:rsidRDefault="00463D78">
      <w:pPr>
        <w:pBdr>
          <w:bottom w:val="single" w:sz="6" w:space="1" w:color="000000"/>
        </w:pBdr>
        <w:spacing w:line="240" w:lineRule="auto"/>
        <w:rPr>
          <w:rFonts w:ascii="Times New Roman" w:eastAsia="Times New Roman" w:hAnsi="Times New Roman"/>
          <w:b/>
        </w:rPr>
      </w:pPr>
    </w:p>
    <w:p w14:paraId="3C16A00F" w14:textId="77777777" w:rsidR="00463D78" w:rsidRDefault="00463D78">
      <w:pPr>
        <w:pBdr>
          <w:bottom w:val="single" w:sz="6" w:space="1" w:color="000000"/>
        </w:pBdr>
        <w:spacing w:line="240" w:lineRule="auto"/>
        <w:rPr>
          <w:rFonts w:ascii="Times New Roman" w:eastAsia="Times New Roman" w:hAnsi="Times New Roman"/>
          <w:b/>
        </w:rPr>
      </w:pPr>
    </w:p>
    <w:p w14:paraId="6DD78CF1" w14:textId="77777777" w:rsidR="00463D78" w:rsidRDefault="00463D78">
      <w:pPr>
        <w:pBdr>
          <w:bottom w:val="single" w:sz="6" w:space="1" w:color="000000"/>
        </w:pBdr>
        <w:spacing w:line="240" w:lineRule="auto"/>
        <w:rPr>
          <w:rFonts w:ascii="Times New Roman" w:eastAsia="Times New Roman" w:hAnsi="Times New Roman"/>
          <w:b/>
        </w:rPr>
      </w:pPr>
    </w:p>
    <w:p w14:paraId="53908987" w14:textId="77777777" w:rsidR="001B4B84" w:rsidRDefault="001B4B84">
      <w:pPr>
        <w:pBdr>
          <w:bottom w:val="single" w:sz="6" w:space="1" w:color="000000"/>
        </w:pBdr>
        <w:spacing w:line="240" w:lineRule="auto"/>
        <w:rPr>
          <w:rFonts w:ascii="Times New Roman" w:eastAsia="Times New Roman" w:hAnsi="Times New Roman"/>
          <w:b/>
        </w:rPr>
      </w:pPr>
    </w:p>
    <w:p w14:paraId="6AF8E3B2" w14:textId="77777777" w:rsidR="001B4B84" w:rsidRDefault="00000000">
      <w:pPr>
        <w:jc w:val="center"/>
        <w:rPr>
          <w:rFonts w:ascii="Times New Roman" w:eastAsia="Times New Roman" w:hAnsi="Times New Roman"/>
          <w:b/>
          <w:sz w:val="32"/>
          <w:szCs w:val="32"/>
        </w:rPr>
      </w:pPr>
      <w:r>
        <w:rPr>
          <w:rFonts w:ascii="Times New Roman" w:eastAsia="Times New Roman" w:hAnsi="Times New Roman"/>
          <w:b/>
          <w:sz w:val="32"/>
          <w:szCs w:val="32"/>
        </w:rPr>
        <w:t>APRENDIZAJE ORGANIZACIONAL Y SU RELACIÓN CON GESTIÓN DEL CONOCIMIENTO E INNOVACIÓN EN MEDIANAS EMPRESAS DE COLOMBIA</w:t>
      </w:r>
    </w:p>
    <w:p w14:paraId="694413D4" w14:textId="77777777" w:rsidR="001B4B84" w:rsidRDefault="00000000">
      <w:pPr>
        <w:spacing w:line="240" w:lineRule="auto"/>
        <w:jc w:val="right"/>
        <w:rPr>
          <w:rFonts w:ascii="Times New Roman" w:eastAsia="Times New Roman" w:hAnsi="Times New Roman"/>
          <w:b/>
          <w:sz w:val="24"/>
          <w:szCs w:val="24"/>
        </w:rPr>
      </w:pPr>
      <w:r>
        <w:rPr>
          <w:rFonts w:ascii="Times New Roman" w:eastAsia="Times New Roman" w:hAnsi="Times New Roman"/>
          <w:b/>
          <w:sz w:val="24"/>
          <w:szCs w:val="24"/>
        </w:rPr>
        <w:t>Sandra Cristina Riascos-Erazo</w:t>
      </w:r>
    </w:p>
    <w:p w14:paraId="3497F773" w14:textId="0146F0FE" w:rsidR="001B4B84" w:rsidRPr="00463D78" w:rsidRDefault="00000000" w:rsidP="00463D78">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Universidad del Valle –Grupo de Investigación: Inteligencia de negocios e Ingeniería del Conocimiento –INIC -Colombia</w:t>
      </w:r>
    </w:p>
    <w:p w14:paraId="44FCBD6F" w14:textId="77777777" w:rsidR="001B4B84" w:rsidRDefault="00000000">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 xml:space="preserve">Resumen </w:t>
      </w:r>
    </w:p>
    <w:p w14:paraId="2EFC302E" w14:textId="3BEA828C"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Las organizaciones que buscan posicionarse en el mercado tanto nacional como internacional se encuentran en un constante proceso de aprendizaje corporativo, donde se refleja una acumulación de conocimientos que permiten desencadenar cambios que buscan el crecimiento y sostenibilidad organizacional. El aprendizaje organizacional es un proceso sistemático de busca transferir conocimiento entre diferentes actores de la organización. El artículo tiene como objetivo analizar la relación que tiene el aprendizaje organizacional con la gestión del conocimiento y la innovación en el contexto de las medianas empresas de Colombia; esta investigación es de tipo cuantitativa, se realizó la consulta a </w:t>
      </w:r>
      <w:r w:rsidR="00463D78">
        <w:rPr>
          <w:rFonts w:ascii="Times New Roman" w:eastAsia="Times New Roman" w:hAnsi="Times New Roman"/>
          <w:sz w:val="24"/>
          <w:szCs w:val="24"/>
        </w:rPr>
        <w:t>75</w:t>
      </w:r>
      <w:r>
        <w:rPr>
          <w:rFonts w:ascii="Times New Roman" w:eastAsia="Times New Roman" w:hAnsi="Times New Roman"/>
          <w:sz w:val="24"/>
          <w:szCs w:val="24"/>
        </w:rPr>
        <w:t xml:space="preserve"> medianas empresas a través de un cuestionario, la información recolectada fue inicialmente analizada mediante estadística descriptiva, para identificar la relación se utilizó la técnica de ecuaciones estructurales (SEM, </w:t>
      </w:r>
      <w:proofErr w:type="spellStart"/>
      <w:r>
        <w:rPr>
          <w:rFonts w:ascii="Times New Roman" w:eastAsia="Times New Roman" w:hAnsi="Times New Roman"/>
          <w:sz w:val="24"/>
          <w:szCs w:val="24"/>
        </w:rPr>
        <w:t>Structural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equation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modeling</w:t>
      </w:r>
      <w:proofErr w:type="spellEnd"/>
      <w:r>
        <w:rPr>
          <w:rFonts w:ascii="Times New Roman" w:eastAsia="Times New Roman" w:hAnsi="Times New Roman"/>
          <w:sz w:val="24"/>
          <w:szCs w:val="24"/>
        </w:rPr>
        <w:t xml:space="preserve">); los principales resultados del estudio muestran una influencia interesante del aprendizaje organizacional en las actividades de la gestión del conocimiento y la innovación, aunque la relación entre estas dos últimas no es lo suficientemente fuerte; esto permite concluir que las medianas empresas consideran al aprendizaje como un elemento fundamental para </w:t>
      </w:r>
      <w:r w:rsidR="00463D78">
        <w:rPr>
          <w:rFonts w:ascii="Times New Roman" w:eastAsia="Times New Roman" w:hAnsi="Times New Roman"/>
          <w:sz w:val="24"/>
          <w:szCs w:val="24"/>
        </w:rPr>
        <w:t>los procesos de innovación y la gestión de su conocimiento organizacional</w:t>
      </w:r>
      <w:r>
        <w:rPr>
          <w:rFonts w:ascii="Times New Roman" w:eastAsia="Times New Roman" w:hAnsi="Times New Roman"/>
          <w:sz w:val="24"/>
          <w:szCs w:val="24"/>
        </w:rPr>
        <w:t>.</w:t>
      </w:r>
    </w:p>
    <w:p w14:paraId="1BD11AEC" w14:textId="77777777" w:rsidR="001B4B84" w:rsidRDefault="00000000">
      <w:pPr>
        <w:rPr>
          <w:rFonts w:ascii="Times New Roman" w:eastAsia="Times New Roman" w:hAnsi="Times New Roman"/>
          <w:sz w:val="24"/>
          <w:szCs w:val="24"/>
        </w:rPr>
      </w:pPr>
      <w:r>
        <w:br w:type="page"/>
      </w:r>
    </w:p>
    <w:p w14:paraId="40028AC7" w14:textId="77777777" w:rsidR="001B4B84" w:rsidRDefault="00000000">
      <w:pPr>
        <w:jc w:val="center"/>
        <w:rPr>
          <w:rFonts w:ascii="Times New Roman" w:eastAsia="Times New Roman" w:hAnsi="Times New Roman"/>
          <w:b/>
          <w:sz w:val="32"/>
          <w:szCs w:val="32"/>
        </w:rPr>
      </w:pPr>
      <w:r>
        <w:rPr>
          <w:rFonts w:ascii="Times New Roman" w:eastAsia="Times New Roman" w:hAnsi="Times New Roman"/>
          <w:b/>
          <w:sz w:val="32"/>
          <w:szCs w:val="32"/>
        </w:rPr>
        <w:lastRenderedPageBreak/>
        <w:t>APRENDIZAJE ORGANIZACIONAL Y SU RELACIÓN CON GESTIÓN DEL CONOCIMIENTO E INNOVACIÓN EN MEDIANAS EMPRESAS DE COLOMBIA</w:t>
      </w:r>
    </w:p>
    <w:p w14:paraId="3C92D33A" w14:textId="77777777" w:rsidR="001B4B84" w:rsidRDefault="00000000">
      <w:pPr>
        <w:spacing w:line="240" w:lineRule="auto"/>
        <w:jc w:val="right"/>
        <w:rPr>
          <w:rFonts w:ascii="Times New Roman" w:eastAsia="Times New Roman" w:hAnsi="Times New Roman"/>
          <w:b/>
          <w:sz w:val="24"/>
          <w:szCs w:val="24"/>
        </w:rPr>
      </w:pPr>
      <w:r>
        <w:rPr>
          <w:rFonts w:ascii="Times New Roman" w:eastAsia="Times New Roman" w:hAnsi="Times New Roman"/>
          <w:b/>
          <w:sz w:val="24"/>
          <w:szCs w:val="24"/>
        </w:rPr>
        <w:t>Sandra Cristina Riascos-Erazo</w:t>
      </w:r>
    </w:p>
    <w:p w14:paraId="1461200E" w14:textId="348EC6DE" w:rsidR="001B4B84" w:rsidRDefault="00000000" w:rsidP="00463D78">
      <w:pPr>
        <w:spacing w:line="240" w:lineRule="auto"/>
        <w:jc w:val="right"/>
        <w:rPr>
          <w:rFonts w:ascii="Times New Roman" w:eastAsia="Times New Roman" w:hAnsi="Times New Roman"/>
          <w:sz w:val="24"/>
          <w:szCs w:val="24"/>
        </w:rPr>
      </w:pPr>
      <w:r>
        <w:rPr>
          <w:rFonts w:ascii="Times New Roman" w:eastAsia="Times New Roman" w:hAnsi="Times New Roman"/>
          <w:sz w:val="24"/>
          <w:szCs w:val="24"/>
        </w:rPr>
        <w:t>Universidad del Valle- GI. Inteligencia de Negocios e Ingeniería del Conocimiento- Colombia</w:t>
      </w:r>
    </w:p>
    <w:p w14:paraId="6D177B8B" w14:textId="77777777" w:rsidR="001B4B84" w:rsidRDefault="00000000">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 xml:space="preserve">1.1. Introducción </w:t>
      </w:r>
    </w:p>
    <w:p w14:paraId="38EB881F" w14:textId="77777777" w:rsidR="001B4B84" w:rsidRDefault="00000000">
      <w:pPr>
        <w:ind w:firstLine="284"/>
        <w:jc w:val="both"/>
        <w:rPr>
          <w:rFonts w:ascii="Times New Roman" w:eastAsia="Times New Roman" w:hAnsi="Times New Roman"/>
          <w:sz w:val="24"/>
          <w:szCs w:val="24"/>
        </w:rPr>
      </w:pPr>
      <w:r>
        <w:rPr>
          <w:rFonts w:ascii="Times New Roman" w:eastAsia="Times New Roman" w:hAnsi="Times New Roman"/>
          <w:sz w:val="24"/>
          <w:szCs w:val="24"/>
        </w:rPr>
        <w:t>Las organizaciones destinan un gran porcentaje de su presupuesto en la formación y/o capacitación del personal con el propósito de optimizar sus procesos, generar conocimiento y buscar mayor productividad de las mismas; Sin embargo, aunque para las empresas las actividades de formación y/o capacitación hace referencia a aprendizaje organizacional, esto no es así, para consolidar el aprendizaje se requiere analizar elementos como: Cultura de aprendizaje continuo, donde se espera promover valores como la curiosidad, la apertura al cambio y la mejora constante dentro de la organización (</w:t>
      </w:r>
      <w:proofErr w:type="spellStart"/>
      <w:r>
        <w:rPr>
          <w:rFonts w:ascii="Times New Roman" w:eastAsia="Times New Roman" w:hAnsi="Times New Roman"/>
          <w:sz w:val="24"/>
          <w:szCs w:val="24"/>
        </w:rPr>
        <w:t>Garvin</w:t>
      </w:r>
      <w:proofErr w:type="spellEnd"/>
      <w:r>
        <w:rPr>
          <w:rFonts w:ascii="Times New Roman" w:eastAsia="Times New Roman" w:hAnsi="Times New Roman"/>
          <w:sz w:val="24"/>
          <w:szCs w:val="24"/>
        </w:rPr>
        <w:t xml:space="preserve">, 1993); el Liderazgo efectivo, los líderes deben facilitar el aprendizaje al inspirar a los empleados, eliminar barreras al conocimiento y ofrecer oportunidades de desarrollo (Vera y </w:t>
      </w:r>
      <w:proofErr w:type="spellStart"/>
      <w:r>
        <w:rPr>
          <w:rFonts w:ascii="Times New Roman" w:eastAsia="Times New Roman" w:hAnsi="Times New Roman"/>
          <w:sz w:val="24"/>
          <w:szCs w:val="24"/>
        </w:rPr>
        <w:t>Crossan</w:t>
      </w:r>
      <w:proofErr w:type="spellEnd"/>
      <w:r>
        <w:rPr>
          <w:rFonts w:ascii="Times New Roman" w:eastAsia="Times New Roman" w:hAnsi="Times New Roman"/>
          <w:sz w:val="24"/>
          <w:szCs w:val="24"/>
        </w:rPr>
        <w:t>, 2004</w:t>
      </w:r>
      <w:r>
        <w:rPr>
          <w:rFonts w:ascii="Times New Roman" w:eastAsia="Times New Roman" w:hAnsi="Times New Roman"/>
          <w:b/>
          <w:sz w:val="24"/>
          <w:szCs w:val="24"/>
        </w:rPr>
        <w:t>)</w:t>
      </w:r>
      <w:r>
        <w:rPr>
          <w:rFonts w:ascii="Times New Roman" w:eastAsia="Times New Roman" w:hAnsi="Times New Roman"/>
          <w:sz w:val="24"/>
          <w:szCs w:val="24"/>
        </w:rPr>
        <w:t xml:space="preserve">; Evaluación y retroalimentación, Analizar continuamente los resultados de las acciones y ajustar estrategias con base en los aprendizajes obtenidos Kolb (1984) Senge, 1990); Uso de tecnologías, Emplear herramientas como Big Data, inteligencia artificial y analítica para gestionar, analizar y aprovechar el conocimiento </w:t>
      </w:r>
      <w:proofErr w:type="spellStart"/>
      <w:r>
        <w:rPr>
          <w:rFonts w:ascii="Times New Roman" w:eastAsia="Times New Roman" w:hAnsi="Times New Roman"/>
          <w:sz w:val="24"/>
          <w:szCs w:val="24"/>
        </w:rPr>
        <w:t>Alavi</w:t>
      </w:r>
      <w:proofErr w:type="spellEnd"/>
      <w:r>
        <w:rPr>
          <w:rFonts w:ascii="Times New Roman" w:eastAsia="Times New Roman" w:hAnsi="Times New Roman"/>
          <w:sz w:val="24"/>
          <w:szCs w:val="24"/>
        </w:rPr>
        <w:t xml:space="preserve"> y </w:t>
      </w:r>
      <w:proofErr w:type="spellStart"/>
      <w:r>
        <w:rPr>
          <w:rFonts w:ascii="Times New Roman" w:eastAsia="Times New Roman" w:hAnsi="Times New Roman"/>
          <w:sz w:val="24"/>
          <w:szCs w:val="24"/>
        </w:rPr>
        <w:t>Leidner</w:t>
      </w:r>
      <w:proofErr w:type="spellEnd"/>
      <w:r>
        <w:rPr>
          <w:rFonts w:ascii="Times New Roman" w:eastAsia="Times New Roman" w:hAnsi="Times New Roman"/>
          <w:sz w:val="24"/>
          <w:szCs w:val="24"/>
        </w:rPr>
        <w:t xml:space="preserve"> (2001) y Adaptación al entorno, la capacidad de interpretar cambios en el mercado y ajustar rápidamente las estrategias organizacionales Weick (1995)</w:t>
      </w:r>
      <w:r>
        <w:rPr>
          <w:rFonts w:ascii="Times New Roman" w:eastAsia="Times New Roman" w:hAnsi="Times New Roman"/>
          <w:b/>
          <w:sz w:val="24"/>
          <w:szCs w:val="24"/>
        </w:rPr>
        <w:t>.</w:t>
      </w:r>
    </w:p>
    <w:p w14:paraId="3ED1D412" w14:textId="77777777" w:rsidR="001B4B84" w:rsidRDefault="00000000">
      <w:pPr>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Por otra parte, abordar el aprendizaje organizacional involucra la circulación del conocimiento (Senge, 1990), generando una relación interesante que ha ameritado ser analizada por diferentes autores como Ordoñez de Pablos &amp; Parreño Fernández (2005), </w:t>
      </w:r>
      <w:proofErr w:type="spellStart"/>
      <w:r>
        <w:rPr>
          <w:rFonts w:ascii="Times New Roman" w:eastAsia="Times New Roman" w:hAnsi="Times New Roman"/>
          <w:sz w:val="24"/>
          <w:szCs w:val="24"/>
        </w:rPr>
        <w:t>Liao</w:t>
      </w:r>
      <w:proofErr w:type="spellEnd"/>
      <w:r>
        <w:rPr>
          <w:rFonts w:ascii="Times New Roman" w:eastAsia="Times New Roman" w:hAnsi="Times New Roman"/>
          <w:sz w:val="24"/>
          <w:szCs w:val="24"/>
        </w:rPr>
        <w:t xml:space="preserve"> &amp; Wu (2009), Rincón (2017), Jia, et. al. (2024</w:t>
      </w:r>
      <w:r>
        <w:rPr>
          <w:rFonts w:ascii="Arial" w:eastAsia="Arial" w:hAnsi="Arial" w:cs="Arial"/>
          <w:color w:val="222222"/>
          <w:sz w:val="20"/>
          <w:szCs w:val="20"/>
          <w:highlight w:val="white"/>
        </w:rPr>
        <w:t>);</w:t>
      </w:r>
      <w:r>
        <w:rPr>
          <w:rFonts w:ascii="Times New Roman" w:eastAsia="Times New Roman" w:hAnsi="Times New Roman"/>
          <w:sz w:val="24"/>
          <w:szCs w:val="24"/>
        </w:rPr>
        <w:t xml:space="preserve"> igualmente, influye en las dinámicas de la innovación que se desarrollan a nivel empresarial como lo mencionan autores como: García‐Morales, et. </w:t>
      </w:r>
      <w:proofErr w:type="gramStart"/>
      <w:r>
        <w:rPr>
          <w:rFonts w:ascii="Times New Roman" w:eastAsia="Times New Roman" w:hAnsi="Times New Roman"/>
          <w:sz w:val="24"/>
          <w:szCs w:val="24"/>
        </w:rPr>
        <w:t>al.(</w:t>
      </w:r>
      <w:proofErr w:type="gramEnd"/>
      <w:r>
        <w:rPr>
          <w:rFonts w:ascii="Times New Roman" w:eastAsia="Times New Roman" w:hAnsi="Times New Roman"/>
          <w:sz w:val="24"/>
          <w:szCs w:val="24"/>
        </w:rPr>
        <w:t>2006)</w:t>
      </w:r>
      <w:r>
        <w:rPr>
          <w:rFonts w:ascii="Arial" w:eastAsia="Arial" w:hAnsi="Arial" w:cs="Arial"/>
          <w:color w:val="222222"/>
          <w:sz w:val="20"/>
          <w:szCs w:val="20"/>
          <w:highlight w:val="white"/>
        </w:rPr>
        <w:t xml:space="preserve">, </w:t>
      </w:r>
      <w:proofErr w:type="spellStart"/>
      <w:r>
        <w:rPr>
          <w:rFonts w:ascii="Times New Roman" w:eastAsia="Times New Roman" w:hAnsi="Times New Roman"/>
          <w:sz w:val="24"/>
          <w:szCs w:val="24"/>
        </w:rPr>
        <w:t>Noruzy</w:t>
      </w:r>
      <w:proofErr w:type="spellEnd"/>
      <w:r>
        <w:rPr>
          <w:rFonts w:ascii="Times New Roman" w:eastAsia="Times New Roman" w:hAnsi="Times New Roman"/>
          <w:sz w:val="24"/>
          <w:szCs w:val="24"/>
        </w:rPr>
        <w:t xml:space="preserve">, et. </w:t>
      </w:r>
      <w:proofErr w:type="gramStart"/>
      <w:r>
        <w:rPr>
          <w:rFonts w:ascii="Times New Roman" w:eastAsia="Times New Roman" w:hAnsi="Times New Roman"/>
          <w:sz w:val="24"/>
          <w:szCs w:val="24"/>
        </w:rPr>
        <w:t>al.(</w:t>
      </w:r>
      <w:proofErr w:type="gramEnd"/>
      <w:r>
        <w:rPr>
          <w:rFonts w:ascii="Times New Roman" w:eastAsia="Times New Roman" w:hAnsi="Times New Roman"/>
          <w:sz w:val="24"/>
          <w:szCs w:val="24"/>
        </w:rPr>
        <w:t>2013), Zhou, et. al. (2024).</w:t>
      </w:r>
    </w:p>
    <w:p w14:paraId="12C182F8" w14:textId="77777777" w:rsidR="001B4B84" w:rsidRDefault="00000000">
      <w:pPr>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Esta investigación, tuvo como objetivo evidenciar la relación entre el aprendizaje organizacional, la gestión del conocimiento y la innovación, en el contexto de las 75 medianas empresas colombianas, para tal efecto, a quienes se les suministró un cuestionario que fue diligenciado por gerentes o directores de recursos humanos; la encuesta se diseñó bajo escala </w:t>
      </w:r>
      <w:proofErr w:type="spellStart"/>
      <w:r>
        <w:rPr>
          <w:rFonts w:ascii="Times New Roman" w:eastAsia="Times New Roman" w:hAnsi="Times New Roman"/>
          <w:sz w:val="24"/>
          <w:szCs w:val="24"/>
        </w:rPr>
        <w:t>likert</w:t>
      </w:r>
      <w:proofErr w:type="spellEnd"/>
      <w:r>
        <w:rPr>
          <w:rFonts w:ascii="Times New Roman" w:eastAsia="Times New Roman" w:hAnsi="Times New Roman"/>
          <w:sz w:val="24"/>
          <w:szCs w:val="24"/>
        </w:rPr>
        <w:t>, la información se analizó utilizando el método de ecuaciones estructurales, que permita analizar con objetividad la existencia o no de una relación entre los constructos propuestos en la investigación.</w:t>
      </w:r>
    </w:p>
    <w:p w14:paraId="24CA2210" w14:textId="77777777" w:rsidR="001B4B84" w:rsidRDefault="00000000">
      <w:pPr>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Entre los principales resultados de la investigación se destaca que las prácticas de aprendizaje organizacional que realizan las medianas empresas es de suma importancia dado que generan un porcentaje alto de innovación en las organizaciones; a diferencia del impacto en la gestión del conocimiento, </w:t>
      </w:r>
      <w:proofErr w:type="gramStart"/>
      <w:r>
        <w:rPr>
          <w:rFonts w:ascii="Times New Roman" w:eastAsia="Times New Roman" w:hAnsi="Times New Roman"/>
          <w:sz w:val="24"/>
          <w:szCs w:val="24"/>
        </w:rPr>
        <w:t>que</w:t>
      </w:r>
      <w:proofErr w:type="gramEnd"/>
      <w:r>
        <w:rPr>
          <w:rFonts w:ascii="Times New Roman" w:eastAsia="Times New Roman" w:hAnsi="Times New Roman"/>
          <w:sz w:val="24"/>
          <w:szCs w:val="24"/>
        </w:rPr>
        <w:t xml:space="preserve"> aunque si hay una relación no es lo suficientemente fuerte.</w:t>
      </w:r>
    </w:p>
    <w:p w14:paraId="79897B9A" w14:textId="77777777" w:rsidR="001B4B84"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lastRenderedPageBreak/>
        <w:t>1.2. Referente teórico</w:t>
      </w:r>
    </w:p>
    <w:p w14:paraId="2A57C133" w14:textId="77777777"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El aprendizaje organizacional se constituye en un proceso complejo que influye en las dinámicas organizacionales que buscan cumplir los objetivos (Rivera-Porras, 2019), por otra parte, el aprendizaje organizacional se define según Angulo (2017) como “el conjunto de información procesada que posee una organización y que se visibiliza a través de los métodos y procedimientos empleados por las estas para producir bienes y servicios</w:t>
      </w:r>
      <w:r>
        <w:rPr>
          <w:rFonts w:ascii="Times New Roman" w:eastAsia="Times New Roman" w:hAnsi="Times New Roman"/>
          <w:color w:val="111111"/>
          <w:sz w:val="24"/>
          <w:szCs w:val="24"/>
          <w:shd w:val="clear" w:color="auto" w:fill="FBFBF3"/>
        </w:rPr>
        <w:t>.</w:t>
      </w:r>
    </w:p>
    <w:p w14:paraId="039B9DEB" w14:textId="77777777"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A nivel empresarial las principales prácticas de aprendizaje organizacional están orientadas a procesos de mentoría (</w:t>
      </w:r>
      <w:proofErr w:type="spellStart"/>
      <w:r>
        <w:rPr>
          <w:rFonts w:ascii="Times New Roman" w:eastAsia="Times New Roman" w:hAnsi="Times New Roman"/>
          <w:sz w:val="24"/>
          <w:szCs w:val="24"/>
        </w:rPr>
        <w:t>Susanto</w:t>
      </w:r>
      <w:proofErr w:type="spellEnd"/>
      <w:r>
        <w:rPr>
          <w:rFonts w:ascii="Times New Roman" w:eastAsia="Times New Roman" w:hAnsi="Times New Roman"/>
          <w:sz w:val="24"/>
          <w:szCs w:val="24"/>
        </w:rPr>
        <w:t xml:space="preserve"> &amp; </w:t>
      </w:r>
      <w:proofErr w:type="spellStart"/>
      <w:r>
        <w:rPr>
          <w:rFonts w:ascii="Times New Roman" w:eastAsia="Times New Roman" w:hAnsi="Times New Roman"/>
          <w:sz w:val="24"/>
          <w:szCs w:val="24"/>
        </w:rPr>
        <w:t>Sawitri</w:t>
      </w:r>
      <w:proofErr w:type="spellEnd"/>
      <w:r>
        <w:rPr>
          <w:rFonts w:ascii="Times New Roman" w:eastAsia="Times New Roman" w:hAnsi="Times New Roman"/>
          <w:sz w:val="24"/>
          <w:szCs w:val="24"/>
        </w:rPr>
        <w:t xml:space="preserve">, 2022; </w:t>
      </w:r>
      <w:proofErr w:type="spellStart"/>
      <w:r>
        <w:rPr>
          <w:rFonts w:ascii="Times New Roman" w:eastAsia="Times New Roman" w:hAnsi="Times New Roman"/>
          <w:sz w:val="24"/>
          <w:szCs w:val="24"/>
        </w:rPr>
        <w:t>Klinge</w:t>
      </w:r>
      <w:proofErr w:type="spellEnd"/>
      <w:r>
        <w:rPr>
          <w:rFonts w:ascii="Times New Roman" w:eastAsia="Times New Roman" w:hAnsi="Times New Roman"/>
          <w:sz w:val="24"/>
          <w:szCs w:val="24"/>
        </w:rPr>
        <w:t xml:space="preserve"> 2015), lecciones aprendidas (</w:t>
      </w:r>
      <w:proofErr w:type="spellStart"/>
      <w:r>
        <w:rPr>
          <w:rFonts w:ascii="Times New Roman" w:eastAsia="Times New Roman" w:hAnsi="Times New Roman"/>
          <w:sz w:val="24"/>
          <w:szCs w:val="24"/>
        </w:rPr>
        <w:t>Garcia</w:t>
      </w:r>
      <w:proofErr w:type="spellEnd"/>
      <w:r>
        <w:rPr>
          <w:rFonts w:ascii="Times New Roman" w:eastAsia="Times New Roman" w:hAnsi="Times New Roman"/>
          <w:sz w:val="24"/>
          <w:szCs w:val="24"/>
        </w:rPr>
        <w:t xml:space="preserve">, Arco y Flores, 2018; Basten &amp; </w:t>
      </w:r>
      <w:proofErr w:type="spellStart"/>
      <w:r>
        <w:rPr>
          <w:rFonts w:ascii="Times New Roman" w:eastAsia="Times New Roman" w:hAnsi="Times New Roman"/>
          <w:sz w:val="24"/>
          <w:szCs w:val="24"/>
        </w:rPr>
        <w:t>Haamann</w:t>
      </w:r>
      <w:proofErr w:type="spellEnd"/>
      <w:r>
        <w:rPr>
          <w:rFonts w:ascii="Times New Roman" w:eastAsia="Times New Roman" w:hAnsi="Times New Roman"/>
          <w:sz w:val="24"/>
          <w:szCs w:val="24"/>
        </w:rPr>
        <w:t>, 2018) y planes de formación (Mintzberg, 2017</w:t>
      </w:r>
      <w:r>
        <w:rPr>
          <w:rFonts w:ascii="Arial" w:eastAsia="Arial" w:hAnsi="Arial" w:cs="Arial"/>
          <w:color w:val="222222"/>
          <w:sz w:val="20"/>
          <w:szCs w:val="20"/>
          <w:highlight w:val="white"/>
        </w:rPr>
        <w:t xml:space="preserve">; </w:t>
      </w:r>
      <w:proofErr w:type="spellStart"/>
      <w:r>
        <w:rPr>
          <w:rFonts w:ascii="Times New Roman" w:eastAsia="Times New Roman" w:hAnsi="Times New Roman"/>
          <w:sz w:val="24"/>
          <w:szCs w:val="24"/>
        </w:rPr>
        <w:t>Steensen</w:t>
      </w:r>
      <w:proofErr w:type="spellEnd"/>
      <w:r>
        <w:rPr>
          <w:rFonts w:ascii="Times New Roman" w:eastAsia="Times New Roman" w:hAnsi="Times New Roman"/>
          <w:sz w:val="24"/>
          <w:szCs w:val="24"/>
        </w:rPr>
        <w:t>, 2014).</w:t>
      </w:r>
    </w:p>
    <w:p w14:paraId="0405F26D" w14:textId="77777777"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Diversos autores mencionan que el aprendizaje organizacional impulsa los procesos de innovación en las empresas; en este sentido, esta relación amerita ser estudiada en el contexto de las medianas empresas colombianas (</w:t>
      </w:r>
      <w:proofErr w:type="spellStart"/>
      <w:r>
        <w:rPr>
          <w:rFonts w:ascii="Times New Roman" w:eastAsia="Times New Roman" w:hAnsi="Times New Roman"/>
          <w:sz w:val="24"/>
          <w:szCs w:val="24"/>
        </w:rPr>
        <w:t>Nooteboom</w:t>
      </w:r>
      <w:proofErr w:type="spellEnd"/>
      <w:r>
        <w:rPr>
          <w:rFonts w:ascii="Times New Roman" w:eastAsia="Times New Roman" w:hAnsi="Times New Roman"/>
          <w:sz w:val="24"/>
          <w:szCs w:val="24"/>
        </w:rPr>
        <w:t xml:space="preserve">, 2000; Argote &amp; </w:t>
      </w:r>
      <w:proofErr w:type="spellStart"/>
      <w:r>
        <w:rPr>
          <w:rFonts w:ascii="Times New Roman" w:eastAsia="Times New Roman" w:hAnsi="Times New Roman"/>
          <w:sz w:val="24"/>
          <w:szCs w:val="24"/>
        </w:rPr>
        <w:t>Miron</w:t>
      </w:r>
      <w:proofErr w:type="spellEnd"/>
      <w:r>
        <w:rPr>
          <w:rFonts w:ascii="Times New Roman" w:eastAsia="Times New Roman" w:hAnsi="Times New Roman"/>
          <w:sz w:val="24"/>
          <w:szCs w:val="24"/>
        </w:rPr>
        <w:t>-Spektor, 2011</w:t>
      </w:r>
      <w:r>
        <w:rPr>
          <w:rFonts w:ascii="Arial" w:eastAsia="Arial" w:hAnsi="Arial" w:cs="Arial"/>
          <w:color w:val="222222"/>
          <w:sz w:val="20"/>
          <w:szCs w:val="20"/>
          <w:highlight w:val="white"/>
        </w:rPr>
        <w:t xml:space="preserve">). </w:t>
      </w:r>
      <w:r>
        <w:rPr>
          <w:rFonts w:ascii="Times New Roman" w:eastAsia="Times New Roman" w:hAnsi="Times New Roman"/>
          <w:sz w:val="24"/>
          <w:szCs w:val="24"/>
        </w:rPr>
        <w:t xml:space="preserve">Además, el aprendizaje organizacional permite identificar oportunidades de mejora y nuevas ideas, facilitando así la innovación en productos, procesos y modelos de negocio; aprovechando la capacidad de una organización para adquirir, compartir, interpretar y retener conocimiento que permite mejorar su desempeño (Argote &amp; </w:t>
      </w:r>
      <w:proofErr w:type="spellStart"/>
      <w:r>
        <w:rPr>
          <w:rFonts w:ascii="Times New Roman" w:eastAsia="Times New Roman" w:hAnsi="Times New Roman"/>
          <w:sz w:val="24"/>
          <w:szCs w:val="24"/>
        </w:rPr>
        <w:t>Miron</w:t>
      </w:r>
      <w:proofErr w:type="spellEnd"/>
      <w:r>
        <w:rPr>
          <w:rFonts w:ascii="Times New Roman" w:eastAsia="Times New Roman" w:hAnsi="Times New Roman"/>
          <w:sz w:val="24"/>
          <w:szCs w:val="24"/>
        </w:rPr>
        <w:t xml:space="preserve">-Spektor, 2011). </w:t>
      </w:r>
    </w:p>
    <w:p w14:paraId="7331FFF5" w14:textId="77777777"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En el contexto empresarial, la innovación se evidencia en aspectos como: la visión compartida del desarrollo de nuevos procesos y productos (Senge, 1990); además, las organizaciones apoyan los procesos de innovación a través de sistemas de reconocimiento y recompensas para la generación de ideas que motiven cambios en las empresas (</w:t>
      </w:r>
      <w:proofErr w:type="spellStart"/>
      <w:r>
        <w:rPr>
          <w:rFonts w:ascii="Times New Roman" w:eastAsia="Times New Roman" w:hAnsi="Times New Roman"/>
          <w:sz w:val="24"/>
          <w:szCs w:val="24"/>
        </w:rPr>
        <w:t>Escribá</w:t>
      </w:r>
      <w:proofErr w:type="spellEnd"/>
      <w:r>
        <w:rPr>
          <w:rFonts w:ascii="Times New Roman" w:eastAsia="Times New Roman" w:hAnsi="Times New Roman"/>
          <w:sz w:val="24"/>
          <w:szCs w:val="24"/>
        </w:rPr>
        <w:t xml:space="preserve"> Carda, </w:t>
      </w:r>
      <w:proofErr w:type="spellStart"/>
      <w:r>
        <w:rPr>
          <w:rFonts w:ascii="Times New Roman" w:eastAsia="Times New Roman" w:hAnsi="Times New Roman"/>
          <w:sz w:val="24"/>
          <w:szCs w:val="24"/>
        </w:rPr>
        <w:t>Balbastre</w:t>
      </w:r>
      <w:proofErr w:type="spellEnd"/>
      <w:r>
        <w:rPr>
          <w:rFonts w:ascii="Times New Roman" w:eastAsia="Times New Roman" w:hAnsi="Times New Roman"/>
          <w:sz w:val="24"/>
          <w:szCs w:val="24"/>
        </w:rPr>
        <w:t xml:space="preserve"> Benavent, &amp; Canet Giner, 2013; Torres, 2022); por otra parte, la cultura organizacional influye en gran medida en el interés por la innovación para la organización (</w:t>
      </w:r>
      <w:proofErr w:type="spellStart"/>
      <w:r>
        <w:rPr>
          <w:rFonts w:ascii="Times New Roman" w:eastAsia="Times New Roman" w:hAnsi="Times New Roman"/>
          <w:sz w:val="24"/>
          <w:szCs w:val="24"/>
        </w:rPr>
        <w:t>Büschgens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Bausch</w:t>
      </w:r>
      <w:proofErr w:type="spellEnd"/>
      <w:r>
        <w:rPr>
          <w:rFonts w:ascii="Times New Roman" w:eastAsia="Times New Roman" w:hAnsi="Times New Roman"/>
          <w:sz w:val="24"/>
          <w:szCs w:val="24"/>
        </w:rPr>
        <w:t xml:space="preserve"> &amp; Balkin, 2013; Nonaka y Takeuchi, 1995).</w:t>
      </w:r>
    </w:p>
    <w:p w14:paraId="60355B54" w14:textId="123536ED"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Las dinámicas de aprendizaje organizacional tienen una relación muy interesante con la gestión del conocimiento que ha sido objeto de estudio de diferentes investigadores, en este sentido, </w:t>
      </w:r>
      <w:r w:rsidR="00463D78">
        <w:rPr>
          <w:rFonts w:ascii="Times New Roman" w:eastAsia="Times New Roman" w:hAnsi="Times New Roman"/>
          <w:sz w:val="24"/>
          <w:szCs w:val="24"/>
        </w:rPr>
        <w:t>los autores</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Liao</w:t>
      </w:r>
      <w:proofErr w:type="spellEnd"/>
      <w:r>
        <w:rPr>
          <w:rFonts w:ascii="Times New Roman" w:eastAsia="Times New Roman" w:hAnsi="Times New Roman"/>
          <w:sz w:val="24"/>
          <w:szCs w:val="24"/>
        </w:rPr>
        <w:t xml:space="preserve"> &amp; Wu (2010) mencionan que el aprendizaje organizacional puede constituirse como un mediador en la relación de gestión del conocimiento y la innovación. </w:t>
      </w:r>
    </w:p>
    <w:p w14:paraId="79FD92FC" w14:textId="7F06DFCF"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Las organizaciones se han concentrado en aspectos fundamentales como un sistema de incentivos para fomentar el intercambio de conocimientos entre empleados (López-Aguirre et al., 2018) ayudando a la transferencia de conocimiento; a nivel estructural, también las empresas han mirado la necesidad de establecer un </w:t>
      </w:r>
      <w:r w:rsidR="00463D78">
        <w:rPr>
          <w:rFonts w:ascii="Times New Roman" w:eastAsia="Times New Roman" w:hAnsi="Times New Roman"/>
          <w:sz w:val="24"/>
          <w:szCs w:val="24"/>
        </w:rPr>
        <w:t>líder</w:t>
      </w:r>
      <w:r>
        <w:rPr>
          <w:rFonts w:ascii="Times New Roman" w:eastAsia="Times New Roman" w:hAnsi="Times New Roman"/>
          <w:sz w:val="24"/>
          <w:szCs w:val="24"/>
        </w:rPr>
        <w:t xml:space="preserve"> del proceso de gestión del conocimiento (Ardila, Rojas y </w:t>
      </w:r>
      <w:r w:rsidR="00463D78">
        <w:rPr>
          <w:rFonts w:ascii="Times New Roman" w:eastAsia="Times New Roman" w:hAnsi="Times New Roman"/>
          <w:sz w:val="24"/>
          <w:szCs w:val="24"/>
        </w:rPr>
        <w:t>Rodríguez</w:t>
      </w:r>
      <w:r>
        <w:rPr>
          <w:rFonts w:ascii="Times New Roman" w:eastAsia="Times New Roman" w:hAnsi="Times New Roman"/>
          <w:sz w:val="24"/>
          <w:szCs w:val="24"/>
        </w:rPr>
        <w:t xml:space="preserve">, 2018); además de desarrollar programas de formación que faciliten actividades de transferencia de conocimiento (El </w:t>
      </w:r>
      <w:proofErr w:type="spellStart"/>
      <w:r>
        <w:rPr>
          <w:rFonts w:ascii="Times New Roman" w:eastAsia="Times New Roman" w:hAnsi="Times New Roman"/>
          <w:sz w:val="24"/>
          <w:szCs w:val="24"/>
        </w:rPr>
        <w:t>Assafiri</w:t>
      </w:r>
      <w:proofErr w:type="spellEnd"/>
      <w:r>
        <w:rPr>
          <w:rFonts w:ascii="Times New Roman" w:eastAsia="Times New Roman" w:hAnsi="Times New Roman"/>
          <w:sz w:val="24"/>
          <w:szCs w:val="24"/>
        </w:rPr>
        <w:t xml:space="preserve"> Ojeda, 2019); por otra parte, las organizaciones consideran que el proceso de gestión del conocimiento es mayor importancia estratégica, por lo cual requiere un presupuesto que facilite el desarrollo de actividades, además este proceso debe apoyarse con  políticas definidas para que se realicen procesos de adquisición de nuevos conocimientos (Chávez &amp; Pérez, 2021).</w:t>
      </w:r>
    </w:p>
    <w:p w14:paraId="0FFCB5DA" w14:textId="77777777"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6CD919AD" w14:textId="77777777" w:rsidR="001B4B84" w:rsidRDefault="00000000">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 xml:space="preserve">1.3. Metodología </w:t>
      </w:r>
      <w:r>
        <w:rPr>
          <w:rFonts w:ascii="Times New Roman" w:eastAsia="Times New Roman" w:hAnsi="Times New Roman"/>
          <w:i/>
          <w:sz w:val="26"/>
          <w:szCs w:val="26"/>
        </w:rPr>
        <w:t xml:space="preserve"> </w:t>
      </w:r>
    </w:p>
    <w:p w14:paraId="5FBAE580" w14:textId="77777777"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El estudio desarrollado responde a las características de una investigación cuantitativa que según Hernández-Sampieri &amp; Mendoza (2020) se fundamenta en la formulación de hipótesis que requieren ser verificadas considerando la evidencia de datos recolectados; para esta investigación se ha utilizado la información suministrada por 75 medianas empresas de </w:t>
      </w:r>
      <w:r>
        <w:rPr>
          <w:rFonts w:ascii="Times New Roman" w:eastAsia="Times New Roman" w:hAnsi="Times New Roman"/>
          <w:sz w:val="24"/>
          <w:szCs w:val="24"/>
        </w:rPr>
        <w:lastRenderedPageBreak/>
        <w:t>Colombia, a quienes se les suministró un cuestionario que fue resuelto por gerentes y/o directivos de recursos humanos. La investigación se desarrolló en cuatro etapas que se describen en la figura No. 1.</w:t>
      </w:r>
    </w:p>
    <w:p w14:paraId="20034FAC" w14:textId="77777777" w:rsidR="001B4B84" w:rsidRDefault="00000000">
      <w:pPr>
        <w:spacing w:line="240" w:lineRule="auto"/>
        <w:jc w:val="center"/>
        <w:rPr>
          <w:rFonts w:ascii="Times New Roman" w:eastAsia="Times New Roman" w:hAnsi="Times New Roman"/>
          <w:sz w:val="24"/>
          <w:szCs w:val="24"/>
        </w:rPr>
      </w:pPr>
      <w:r>
        <w:rPr>
          <w:rFonts w:ascii="Times New Roman" w:eastAsia="Times New Roman" w:hAnsi="Times New Roman"/>
          <w:b/>
          <w:sz w:val="20"/>
          <w:szCs w:val="20"/>
        </w:rPr>
        <w:t>Figura 1.</w:t>
      </w:r>
      <w:r>
        <w:rPr>
          <w:rFonts w:ascii="Times New Roman" w:eastAsia="Times New Roman" w:hAnsi="Times New Roman"/>
          <w:sz w:val="20"/>
          <w:szCs w:val="20"/>
        </w:rPr>
        <w:t xml:space="preserve"> Etapas de la investigación.</w:t>
      </w:r>
    </w:p>
    <w:p w14:paraId="3A1429BD" w14:textId="77777777"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noProof/>
          <w:sz w:val="24"/>
          <w:szCs w:val="24"/>
        </w:rPr>
        <w:drawing>
          <wp:inline distT="114300" distB="114300" distL="114300" distR="114300" wp14:anchorId="4A4C48F7" wp14:editId="6B980485">
            <wp:extent cx="5057458" cy="2942521"/>
            <wp:effectExtent l="0" t="0" r="0" b="0"/>
            <wp:docPr id="10971705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57458" cy="2942521"/>
                    </a:xfrm>
                    <a:prstGeom prst="rect">
                      <a:avLst/>
                    </a:prstGeom>
                    <a:ln/>
                  </pic:spPr>
                </pic:pic>
              </a:graphicData>
            </a:graphic>
          </wp:inline>
        </w:drawing>
      </w:r>
    </w:p>
    <w:p w14:paraId="3292109A" w14:textId="62BC3D3D"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El estudio consideró tres variables: Aprendizaje Organizacional, Gestión del Conocimiento e Innovación, para cada una de ellas se establecieron algunos aspectos a indagar </w:t>
      </w:r>
      <w:r w:rsidR="00463D78">
        <w:rPr>
          <w:rFonts w:ascii="Times New Roman" w:eastAsia="Times New Roman" w:hAnsi="Times New Roman"/>
          <w:sz w:val="24"/>
          <w:szCs w:val="24"/>
        </w:rPr>
        <w:t>de acuerdo con</w:t>
      </w:r>
      <w:r>
        <w:rPr>
          <w:rFonts w:ascii="Times New Roman" w:eastAsia="Times New Roman" w:hAnsi="Times New Roman"/>
          <w:sz w:val="24"/>
          <w:szCs w:val="24"/>
        </w:rPr>
        <w:t xml:space="preserve"> la teoría definida; así como también las hipótesis que orientan el estudio (tabla 1).</w:t>
      </w:r>
    </w:p>
    <w:p w14:paraId="2893AEBA" w14:textId="77777777" w:rsidR="001B4B84" w:rsidRDefault="00000000">
      <w:pPr>
        <w:pBdr>
          <w:top w:val="nil"/>
          <w:left w:val="nil"/>
          <w:bottom w:val="nil"/>
          <w:right w:val="nil"/>
          <w:between w:val="nil"/>
        </w:pBd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Tabla 1: Variables, preguntas e hipótesis del estudio</w:t>
      </w:r>
    </w:p>
    <w:sdt>
      <w:sdtPr>
        <w:tag w:val="goog_rdk_0"/>
        <w:id w:val="-43455208"/>
        <w:lock w:val="contentLocked"/>
      </w:sdtPr>
      <w:sdtContent>
        <w:tbl>
          <w:tblPr>
            <w:tblStyle w:val="a6"/>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4500"/>
            <w:gridCol w:w="2865"/>
          </w:tblGrid>
          <w:tr w:rsidR="001B4B84" w14:paraId="73A505A0" w14:textId="77777777">
            <w:tc>
              <w:tcPr>
                <w:tcW w:w="1680" w:type="dxa"/>
                <w:shd w:val="clear" w:color="auto" w:fill="auto"/>
                <w:tcMar>
                  <w:top w:w="100" w:type="dxa"/>
                  <w:left w:w="100" w:type="dxa"/>
                  <w:bottom w:w="100" w:type="dxa"/>
                  <w:right w:w="100" w:type="dxa"/>
                </w:tcMar>
              </w:tcPr>
              <w:p w14:paraId="44A2D3B0" w14:textId="77777777" w:rsidR="001B4B84" w:rsidRDefault="00000000">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Variable</w:t>
                </w:r>
              </w:p>
            </w:tc>
            <w:tc>
              <w:tcPr>
                <w:tcW w:w="4500" w:type="dxa"/>
                <w:shd w:val="clear" w:color="auto" w:fill="auto"/>
                <w:tcMar>
                  <w:top w:w="100" w:type="dxa"/>
                  <w:left w:w="100" w:type="dxa"/>
                  <w:bottom w:w="100" w:type="dxa"/>
                  <w:right w:w="100" w:type="dxa"/>
                </w:tcMar>
              </w:tcPr>
              <w:p w14:paraId="359FD0AB" w14:textId="77777777" w:rsidR="001B4B84" w:rsidRDefault="00000000">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Preguntas</w:t>
                </w:r>
              </w:p>
            </w:tc>
            <w:tc>
              <w:tcPr>
                <w:tcW w:w="2865" w:type="dxa"/>
                <w:shd w:val="clear" w:color="auto" w:fill="auto"/>
                <w:tcMar>
                  <w:top w:w="100" w:type="dxa"/>
                  <w:left w:w="100" w:type="dxa"/>
                  <w:bottom w:w="100" w:type="dxa"/>
                  <w:right w:w="100" w:type="dxa"/>
                </w:tcMar>
              </w:tcPr>
              <w:p w14:paraId="4F14FFC5" w14:textId="77777777" w:rsidR="001B4B84" w:rsidRDefault="00000000">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Hipótesis</w:t>
                </w:r>
              </w:p>
            </w:tc>
          </w:tr>
          <w:tr w:rsidR="001B4B84" w14:paraId="28BD1B77" w14:textId="77777777">
            <w:trPr>
              <w:trHeight w:val="440"/>
            </w:trPr>
            <w:tc>
              <w:tcPr>
                <w:tcW w:w="1680" w:type="dxa"/>
                <w:shd w:val="clear" w:color="auto" w:fill="auto"/>
                <w:tcMar>
                  <w:top w:w="100" w:type="dxa"/>
                  <w:left w:w="100" w:type="dxa"/>
                  <w:bottom w:w="100" w:type="dxa"/>
                  <w:right w:w="100" w:type="dxa"/>
                </w:tcMar>
              </w:tcPr>
              <w:p w14:paraId="1CD5BBE5"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Aprendizaje Organizacional</w:t>
                </w:r>
              </w:p>
            </w:tc>
            <w:tc>
              <w:tcPr>
                <w:tcW w:w="4500" w:type="dxa"/>
                <w:shd w:val="clear" w:color="auto" w:fill="auto"/>
                <w:tcMar>
                  <w:top w:w="100" w:type="dxa"/>
                  <w:left w:w="100" w:type="dxa"/>
                  <w:bottom w:w="100" w:type="dxa"/>
                  <w:right w:w="100" w:type="dxa"/>
                </w:tcMar>
              </w:tcPr>
              <w:p w14:paraId="4E9601E7" w14:textId="77777777" w:rsidR="001B4B84" w:rsidRDefault="00000000">
                <w:pPr>
                  <w:widowControl w:val="0"/>
                  <w:numPr>
                    <w:ilvl w:val="0"/>
                    <w:numId w:val="1"/>
                  </w:numPr>
                  <w:pBdr>
                    <w:top w:val="nil"/>
                    <w:left w:val="nil"/>
                    <w:bottom w:val="nil"/>
                    <w:right w:val="nil"/>
                    <w:between w:val="nil"/>
                  </w:pBd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Se han establecido procesos de mentoría</w:t>
                </w:r>
              </w:p>
              <w:p w14:paraId="6BD3E038" w14:textId="77777777" w:rsidR="001B4B84" w:rsidRDefault="00000000">
                <w:pPr>
                  <w:widowControl w:val="0"/>
                  <w:numPr>
                    <w:ilvl w:val="0"/>
                    <w:numId w:val="1"/>
                  </w:numPr>
                  <w:pBdr>
                    <w:top w:val="nil"/>
                    <w:left w:val="nil"/>
                    <w:bottom w:val="nil"/>
                    <w:right w:val="nil"/>
                    <w:between w:val="nil"/>
                  </w:pBd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Se desarrollan procesos de lecciones aprendidas</w:t>
                </w:r>
              </w:p>
              <w:p w14:paraId="3A4DB45D" w14:textId="77777777" w:rsidR="001B4B84" w:rsidRDefault="00000000">
                <w:pPr>
                  <w:widowControl w:val="0"/>
                  <w:numPr>
                    <w:ilvl w:val="0"/>
                    <w:numId w:val="1"/>
                  </w:numPr>
                  <w:pBdr>
                    <w:top w:val="nil"/>
                    <w:left w:val="nil"/>
                    <w:bottom w:val="nil"/>
                    <w:right w:val="nil"/>
                    <w:between w:val="nil"/>
                  </w:pBd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Se han establecido planes de Formación y desarrollo orientados al mejoramiento de procesos</w:t>
                </w:r>
              </w:p>
            </w:tc>
            <w:tc>
              <w:tcPr>
                <w:tcW w:w="2865" w:type="dxa"/>
                <w:vMerge w:val="restart"/>
                <w:shd w:val="clear" w:color="auto" w:fill="auto"/>
                <w:tcMar>
                  <w:top w:w="100" w:type="dxa"/>
                  <w:left w:w="100" w:type="dxa"/>
                  <w:bottom w:w="100" w:type="dxa"/>
                  <w:right w:w="100" w:type="dxa"/>
                </w:tcMar>
              </w:tcPr>
              <w:p w14:paraId="520D1C8A"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H1. El aprendizaje incide en los procesos de innovación de las medianas empresas de Colombia.</w:t>
                </w:r>
              </w:p>
              <w:p w14:paraId="5C0CC248" w14:textId="77777777" w:rsidR="001B4B84" w:rsidRDefault="001B4B84">
                <w:pPr>
                  <w:widowControl w:val="0"/>
                  <w:pBdr>
                    <w:top w:val="nil"/>
                    <w:left w:val="nil"/>
                    <w:bottom w:val="nil"/>
                    <w:right w:val="nil"/>
                    <w:between w:val="nil"/>
                  </w:pBdr>
                  <w:spacing w:after="0" w:line="240" w:lineRule="auto"/>
                  <w:rPr>
                    <w:rFonts w:ascii="Times New Roman" w:eastAsia="Times New Roman" w:hAnsi="Times New Roman"/>
                    <w:sz w:val="24"/>
                    <w:szCs w:val="24"/>
                  </w:rPr>
                </w:pPr>
              </w:p>
              <w:p w14:paraId="7086306D" w14:textId="77777777" w:rsidR="001B4B84" w:rsidRDefault="00000000">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H2. El aprendizaje incide en los procesos de gestión del conocimiento de las medianas empresas de Colombia.</w:t>
                </w:r>
              </w:p>
              <w:p w14:paraId="66FCB17E" w14:textId="77777777" w:rsidR="001B4B84" w:rsidRDefault="001B4B84">
                <w:pPr>
                  <w:widowControl w:val="0"/>
                  <w:spacing w:after="0" w:line="240" w:lineRule="auto"/>
                  <w:rPr>
                    <w:rFonts w:ascii="Times New Roman" w:eastAsia="Times New Roman" w:hAnsi="Times New Roman"/>
                    <w:sz w:val="24"/>
                    <w:szCs w:val="24"/>
                  </w:rPr>
                </w:pPr>
              </w:p>
              <w:p w14:paraId="07321E32" w14:textId="77777777" w:rsidR="001B4B84" w:rsidRDefault="00000000">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H3. La Gestión del Conocimiento incide en los procesos de innovación de las medianas empresas de Colombia.</w:t>
                </w:r>
              </w:p>
            </w:tc>
          </w:tr>
          <w:tr w:rsidR="001B4B84" w14:paraId="75B53424" w14:textId="77777777">
            <w:trPr>
              <w:trHeight w:val="440"/>
            </w:trPr>
            <w:tc>
              <w:tcPr>
                <w:tcW w:w="1680" w:type="dxa"/>
                <w:shd w:val="clear" w:color="auto" w:fill="auto"/>
                <w:tcMar>
                  <w:top w:w="100" w:type="dxa"/>
                  <w:left w:w="100" w:type="dxa"/>
                  <w:bottom w:w="100" w:type="dxa"/>
                  <w:right w:w="100" w:type="dxa"/>
                </w:tcMar>
              </w:tcPr>
              <w:p w14:paraId="79D359A7"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Gestión del Conocimiento</w:t>
                </w:r>
              </w:p>
            </w:tc>
            <w:tc>
              <w:tcPr>
                <w:tcW w:w="4500" w:type="dxa"/>
                <w:shd w:val="clear" w:color="auto" w:fill="auto"/>
                <w:tcMar>
                  <w:top w:w="100" w:type="dxa"/>
                  <w:left w:w="100" w:type="dxa"/>
                  <w:bottom w:w="100" w:type="dxa"/>
                  <w:right w:w="100" w:type="dxa"/>
                </w:tcMar>
              </w:tcPr>
              <w:p w14:paraId="3C234910" w14:textId="77777777" w:rsidR="001B4B84" w:rsidRDefault="00000000">
                <w:pPr>
                  <w:widowControl w:val="0"/>
                  <w:numPr>
                    <w:ilvl w:val="0"/>
                    <w:numId w:val="2"/>
                  </w:numPr>
                  <w:pBdr>
                    <w:top w:val="nil"/>
                    <w:left w:val="nil"/>
                    <w:bottom w:val="nil"/>
                    <w:right w:val="nil"/>
                    <w:between w:val="nil"/>
                  </w:pBd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Existe un sistema de incentivos para fomentar el intercambio de conocimientos entre los empleados</w:t>
                </w:r>
              </w:p>
              <w:p w14:paraId="30B6CC25" w14:textId="77777777" w:rsidR="001B4B84" w:rsidRDefault="00000000">
                <w:pPr>
                  <w:widowControl w:val="0"/>
                  <w:numPr>
                    <w:ilvl w:val="0"/>
                    <w:numId w:val="2"/>
                  </w:numPr>
                  <w:pBdr>
                    <w:top w:val="nil"/>
                    <w:left w:val="nil"/>
                    <w:bottom w:val="nil"/>
                    <w:right w:val="nil"/>
                    <w:between w:val="nil"/>
                  </w:pBd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Se ha definido una dependencia encargada de liderar los procesos de Gestión del Conocimiento</w:t>
                </w:r>
              </w:p>
              <w:p w14:paraId="6FC27F68" w14:textId="77777777" w:rsidR="001B4B84" w:rsidRDefault="00000000">
                <w:pPr>
                  <w:widowControl w:val="0"/>
                  <w:numPr>
                    <w:ilvl w:val="0"/>
                    <w:numId w:val="2"/>
                  </w:numPr>
                  <w:pBdr>
                    <w:top w:val="nil"/>
                    <w:left w:val="nil"/>
                    <w:bottom w:val="nil"/>
                    <w:right w:val="nil"/>
                    <w:between w:val="nil"/>
                  </w:pBd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Se desarrollan programas de formación o campañas de sensibilización en gestión del conocimiento</w:t>
                </w:r>
              </w:p>
              <w:p w14:paraId="139E9C10" w14:textId="77777777" w:rsidR="001B4B84" w:rsidRDefault="00000000">
                <w:pPr>
                  <w:widowControl w:val="0"/>
                  <w:numPr>
                    <w:ilvl w:val="0"/>
                    <w:numId w:val="2"/>
                  </w:numPr>
                  <w:pBdr>
                    <w:top w:val="nil"/>
                    <w:left w:val="nil"/>
                    <w:bottom w:val="nil"/>
                    <w:right w:val="nil"/>
                    <w:between w:val="nil"/>
                  </w:pBd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Se destina un presupuesto para la Gestión del Conocimiento</w:t>
                </w:r>
              </w:p>
              <w:p w14:paraId="46D5DF37" w14:textId="77777777" w:rsidR="001B4B84" w:rsidRDefault="00000000">
                <w:pPr>
                  <w:widowControl w:val="0"/>
                  <w:numPr>
                    <w:ilvl w:val="0"/>
                    <w:numId w:val="2"/>
                  </w:numPr>
                  <w:pBdr>
                    <w:top w:val="nil"/>
                    <w:left w:val="nil"/>
                    <w:bottom w:val="nil"/>
                    <w:right w:val="nil"/>
                    <w:between w:val="nil"/>
                  </w:pBd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 xml:space="preserve">La organización tiene políticas definidas para que se realicen procesos de </w:t>
                </w:r>
                <w:r>
                  <w:rPr>
                    <w:rFonts w:ascii="Times New Roman" w:eastAsia="Times New Roman" w:hAnsi="Times New Roman"/>
                    <w:sz w:val="24"/>
                    <w:szCs w:val="24"/>
                  </w:rPr>
                  <w:lastRenderedPageBreak/>
                  <w:t>adquisición de nuevos conocimientos</w:t>
                </w:r>
              </w:p>
            </w:tc>
            <w:tc>
              <w:tcPr>
                <w:tcW w:w="2865" w:type="dxa"/>
                <w:vMerge/>
                <w:shd w:val="clear" w:color="auto" w:fill="auto"/>
                <w:tcMar>
                  <w:top w:w="100" w:type="dxa"/>
                  <w:left w:w="100" w:type="dxa"/>
                  <w:bottom w:w="100" w:type="dxa"/>
                  <w:right w:w="100" w:type="dxa"/>
                </w:tcMar>
              </w:tcPr>
              <w:p w14:paraId="15E10CD0" w14:textId="77777777" w:rsidR="001B4B84" w:rsidRDefault="001B4B84">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r w:rsidR="001B4B84" w14:paraId="533ADE03" w14:textId="77777777">
            <w:trPr>
              <w:trHeight w:val="440"/>
            </w:trPr>
            <w:tc>
              <w:tcPr>
                <w:tcW w:w="1680" w:type="dxa"/>
                <w:shd w:val="clear" w:color="auto" w:fill="auto"/>
                <w:tcMar>
                  <w:top w:w="100" w:type="dxa"/>
                  <w:left w:w="100" w:type="dxa"/>
                  <w:bottom w:w="100" w:type="dxa"/>
                  <w:right w:w="100" w:type="dxa"/>
                </w:tcMar>
              </w:tcPr>
              <w:p w14:paraId="439E4C34"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Innovación</w:t>
                </w:r>
              </w:p>
            </w:tc>
            <w:tc>
              <w:tcPr>
                <w:tcW w:w="4500" w:type="dxa"/>
                <w:shd w:val="clear" w:color="auto" w:fill="auto"/>
                <w:tcMar>
                  <w:top w:w="100" w:type="dxa"/>
                  <w:left w:w="100" w:type="dxa"/>
                  <w:bottom w:w="100" w:type="dxa"/>
                  <w:right w:w="100" w:type="dxa"/>
                </w:tcMar>
              </w:tcPr>
              <w:p w14:paraId="2ADE3BC9" w14:textId="77777777" w:rsidR="001B4B84" w:rsidRDefault="00000000">
                <w:pPr>
                  <w:widowControl w:val="0"/>
                  <w:numPr>
                    <w:ilvl w:val="0"/>
                    <w:numId w:val="3"/>
                  </w:numPr>
                  <w:pBdr>
                    <w:top w:val="nil"/>
                    <w:left w:val="nil"/>
                    <w:bottom w:val="nil"/>
                    <w:right w:val="nil"/>
                    <w:between w:val="nil"/>
                  </w:pBd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Existe una visión compartida de desarrollo a partir de la innovación.</w:t>
                </w:r>
              </w:p>
              <w:p w14:paraId="2AA86024" w14:textId="77777777" w:rsidR="001B4B84" w:rsidRDefault="00000000">
                <w:pPr>
                  <w:widowControl w:val="0"/>
                  <w:numPr>
                    <w:ilvl w:val="0"/>
                    <w:numId w:val="3"/>
                  </w:numPr>
                  <w:pBdr>
                    <w:top w:val="nil"/>
                    <w:left w:val="nil"/>
                    <w:bottom w:val="nil"/>
                    <w:right w:val="nil"/>
                    <w:between w:val="nil"/>
                  </w:pBd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El sistema de reconocimiento y recompensas de la organización apoya la generación de innovación.</w:t>
                </w:r>
              </w:p>
              <w:p w14:paraId="187D21EB" w14:textId="77777777" w:rsidR="001B4B84" w:rsidRDefault="00000000">
                <w:pPr>
                  <w:widowControl w:val="0"/>
                  <w:numPr>
                    <w:ilvl w:val="0"/>
                    <w:numId w:val="3"/>
                  </w:numPr>
                  <w:pBdr>
                    <w:top w:val="nil"/>
                    <w:left w:val="nil"/>
                    <w:bottom w:val="nil"/>
                    <w:right w:val="nil"/>
                    <w:between w:val="nil"/>
                  </w:pBdr>
                  <w:spacing w:after="0" w:line="240" w:lineRule="auto"/>
                  <w:ind w:left="283"/>
                  <w:rPr>
                    <w:rFonts w:ascii="Times New Roman" w:eastAsia="Times New Roman" w:hAnsi="Times New Roman"/>
                    <w:sz w:val="24"/>
                    <w:szCs w:val="24"/>
                  </w:rPr>
                </w:pPr>
                <w:r>
                  <w:rPr>
                    <w:rFonts w:ascii="Times New Roman" w:eastAsia="Times New Roman" w:hAnsi="Times New Roman"/>
                    <w:sz w:val="24"/>
                    <w:szCs w:val="24"/>
                  </w:rPr>
                  <w:t>La cultura organizacional propicia las nuevas ideas.</w:t>
                </w:r>
              </w:p>
            </w:tc>
            <w:tc>
              <w:tcPr>
                <w:tcW w:w="2865" w:type="dxa"/>
                <w:vMerge/>
                <w:shd w:val="clear" w:color="auto" w:fill="auto"/>
                <w:tcMar>
                  <w:top w:w="100" w:type="dxa"/>
                  <w:left w:w="100" w:type="dxa"/>
                  <w:bottom w:w="100" w:type="dxa"/>
                  <w:right w:w="100" w:type="dxa"/>
                </w:tcMar>
              </w:tcPr>
              <w:p w14:paraId="138AE9DF" w14:textId="77777777" w:rsidR="001B4B84" w:rsidRDefault="001B4B84">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bl>
      </w:sdtContent>
    </w:sdt>
    <w:p w14:paraId="1463F64E" w14:textId="77777777" w:rsidR="001B4B84" w:rsidRDefault="001B4B84">
      <w:pPr>
        <w:spacing w:line="240" w:lineRule="auto"/>
        <w:ind w:firstLine="284"/>
        <w:jc w:val="both"/>
        <w:rPr>
          <w:rFonts w:ascii="Times New Roman" w:eastAsia="Times New Roman" w:hAnsi="Times New Roman"/>
          <w:sz w:val="24"/>
          <w:szCs w:val="24"/>
        </w:rPr>
      </w:pPr>
    </w:p>
    <w:p w14:paraId="59ECC050" w14:textId="77777777" w:rsidR="001B4B84" w:rsidRDefault="00000000">
      <w:pPr>
        <w:spacing w:line="240" w:lineRule="auto"/>
        <w:jc w:val="both"/>
        <w:rPr>
          <w:rFonts w:ascii="Times New Roman" w:eastAsia="Times New Roman" w:hAnsi="Times New Roman"/>
          <w:i/>
          <w:sz w:val="26"/>
          <w:szCs w:val="26"/>
        </w:rPr>
      </w:pPr>
      <w:r>
        <w:rPr>
          <w:rFonts w:ascii="Times New Roman" w:eastAsia="Times New Roman" w:hAnsi="Times New Roman"/>
          <w:b/>
          <w:i/>
          <w:sz w:val="26"/>
          <w:szCs w:val="26"/>
        </w:rPr>
        <w:t xml:space="preserve">1.4. Resultados </w:t>
      </w:r>
      <w:r>
        <w:rPr>
          <w:rFonts w:ascii="Times New Roman" w:eastAsia="Times New Roman" w:hAnsi="Times New Roman"/>
          <w:i/>
          <w:sz w:val="26"/>
          <w:szCs w:val="26"/>
        </w:rPr>
        <w:t xml:space="preserve"> </w:t>
      </w:r>
    </w:p>
    <w:p w14:paraId="6A9A9CD2" w14:textId="77777777" w:rsidR="001B4B84" w:rsidRDefault="00000000">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El análisis de la información se realizó utilizando el software SPSS 27 y Smart PLS, los cuales entregaron los siguientes resultados </w:t>
      </w:r>
      <w:proofErr w:type="gramStart"/>
      <w:r>
        <w:rPr>
          <w:rFonts w:ascii="Times New Roman" w:eastAsia="Times New Roman" w:hAnsi="Times New Roman"/>
          <w:sz w:val="24"/>
          <w:szCs w:val="24"/>
        </w:rPr>
        <w:t>de acuerdo a</w:t>
      </w:r>
      <w:proofErr w:type="gramEnd"/>
      <w:r>
        <w:rPr>
          <w:rFonts w:ascii="Times New Roman" w:eastAsia="Times New Roman" w:hAnsi="Times New Roman"/>
          <w:sz w:val="24"/>
          <w:szCs w:val="24"/>
        </w:rPr>
        <w:t xml:space="preserve"> las hipótesis planteadas. </w:t>
      </w:r>
    </w:p>
    <w:p w14:paraId="487F035F" w14:textId="77777777" w:rsidR="001B4B84" w:rsidRDefault="00000000">
      <w:pPr>
        <w:pBdr>
          <w:top w:val="nil"/>
          <w:left w:val="nil"/>
          <w:bottom w:val="nil"/>
          <w:right w:val="nil"/>
          <w:between w:val="nil"/>
        </w:pBd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1.4.1. Fiabilidad y validez de los constructos</w:t>
      </w:r>
    </w:p>
    <w:p w14:paraId="4BB1409B" w14:textId="77777777" w:rsidR="001B4B84" w:rsidRDefault="00000000">
      <w:pPr>
        <w:pBdr>
          <w:top w:val="nil"/>
          <w:left w:val="nil"/>
          <w:bottom w:val="nil"/>
          <w:right w:val="nil"/>
          <w:between w:val="nil"/>
        </w:pBd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Con el propósito de evidenciar la fiabilidad y validez del constructo, se aplicó alfa de Cronbach (tabla 2), donde se observa que cada constructo es superior a 0,8 lo cual quiere decir que se encuentra en el intervalo entre 0,70 y 0,90 lo cual implica que los constructos tienen una buena consistencia según Cronbach (1951) y Cortina (1993). </w:t>
      </w:r>
    </w:p>
    <w:p w14:paraId="6A086621" w14:textId="77777777" w:rsidR="001B4B84" w:rsidRDefault="00000000">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Tabla 2: Confiabilidad de los constructos</w:t>
      </w:r>
    </w:p>
    <w:sdt>
      <w:sdtPr>
        <w:tag w:val="goog_rdk_1"/>
        <w:id w:val="312528008"/>
        <w:lock w:val="contentLocked"/>
      </w:sdtPr>
      <w:sdtContent>
        <w:tbl>
          <w:tblPr>
            <w:tblStyle w:val="a7"/>
            <w:tblW w:w="405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055"/>
          </w:tblGrid>
          <w:tr w:rsidR="001B4B84" w14:paraId="24F1C102" w14:textId="77777777">
            <w:trPr>
              <w:jc w:val="center"/>
            </w:trPr>
            <w:tc>
              <w:tcPr>
                <w:tcW w:w="1995" w:type="dxa"/>
                <w:shd w:val="clear" w:color="auto" w:fill="auto"/>
                <w:tcMar>
                  <w:top w:w="100" w:type="dxa"/>
                  <w:left w:w="100" w:type="dxa"/>
                  <w:bottom w:w="100" w:type="dxa"/>
                  <w:right w:w="100" w:type="dxa"/>
                </w:tcMar>
              </w:tcPr>
              <w:p w14:paraId="5F42E870"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Constructo</w:t>
                </w:r>
              </w:p>
            </w:tc>
            <w:tc>
              <w:tcPr>
                <w:tcW w:w="2055" w:type="dxa"/>
                <w:shd w:val="clear" w:color="auto" w:fill="auto"/>
                <w:tcMar>
                  <w:top w:w="100" w:type="dxa"/>
                  <w:left w:w="100" w:type="dxa"/>
                  <w:bottom w:w="100" w:type="dxa"/>
                  <w:right w:w="100" w:type="dxa"/>
                </w:tcMar>
              </w:tcPr>
              <w:p w14:paraId="24DBF279"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Alpha de Cronbach</w:t>
                </w:r>
              </w:p>
            </w:tc>
          </w:tr>
          <w:tr w:rsidR="001B4B84" w14:paraId="2E344507" w14:textId="77777777">
            <w:trPr>
              <w:jc w:val="center"/>
            </w:trPr>
            <w:tc>
              <w:tcPr>
                <w:tcW w:w="1995" w:type="dxa"/>
                <w:shd w:val="clear" w:color="auto" w:fill="auto"/>
                <w:tcMar>
                  <w:top w:w="100" w:type="dxa"/>
                  <w:left w:w="100" w:type="dxa"/>
                  <w:bottom w:w="100" w:type="dxa"/>
                  <w:right w:w="100" w:type="dxa"/>
                </w:tcMar>
              </w:tcPr>
              <w:p w14:paraId="69863447"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sz w:val="20"/>
                    <w:szCs w:val="20"/>
                  </w:rPr>
                </w:pPr>
                <w:r>
                  <w:rPr>
                    <w:rFonts w:ascii="Times New Roman" w:eastAsia="Times New Roman" w:hAnsi="Times New Roman"/>
                    <w:sz w:val="20"/>
                    <w:szCs w:val="20"/>
                  </w:rPr>
                  <w:t>Aprendizaje Organizacional</w:t>
                </w:r>
              </w:p>
            </w:tc>
            <w:tc>
              <w:tcPr>
                <w:tcW w:w="2055" w:type="dxa"/>
                <w:shd w:val="clear" w:color="auto" w:fill="auto"/>
                <w:tcMar>
                  <w:top w:w="100" w:type="dxa"/>
                  <w:left w:w="100" w:type="dxa"/>
                  <w:bottom w:w="100" w:type="dxa"/>
                  <w:right w:w="100" w:type="dxa"/>
                </w:tcMar>
              </w:tcPr>
              <w:p w14:paraId="5C907DBB"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sz w:val="20"/>
                    <w:szCs w:val="20"/>
                  </w:rPr>
                </w:pPr>
                <w:r>
                  <w:rPr>
                    <w:rFonts w:ascii="Times New Roman" w:eastAsia="Times New Roman" w:hAnsi="Times New Roman"/>
                    <w:sz w:val="20"/>
                    <w:szCs w:val="20"/>
                  </w:rPr>
                  <w:t>0,910</w:t>
                </w:r>
              </w:p>
            </w:tc>
          </w:tr>
          <w:tr w:rsidR="001B4B84" w14:paraId="3457AD54" w14:textId="77777777">
            <w:trPr>
              <w:jc w:val="center"/>
            </w:trPr>
            <w:tc>
              <w:tcPr>
                <w:tcW w:w="1995" w:type="dxa"/>
                <w:shd w:val="clear" w:color="auto" w:fill="auto"/>
                <w:tcMar>
                  <w:top w:w="100" w:type="dxa"/>
                  <w:left w:w="100" w:type="dxa"/>
                  <w:bottom w:w="100" w:type="dxa"/>
                  <w:right w:w="100" w:type="dxa"/>
                </w:tcMar>
              </w:tcPr>
              <w:p w14:paraId="2648EC12"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sz w:val="20"/>
                    <w:szCs w:val="20"/>
                  </w:rPr>
                </w:pPr>
                <w:r>
                  <w:rPr>
                    <w:rFonts w:ascii="Times New Roman" w:eastAsia="Times New Roman" w:hAnsi="Times New Roman"/>
                    <w:sz w:val="20"/>
                    <w:szCs w:val="20"/>
                  </w:rPr>
                  <w:t>Gestión del Conocimiento</w:t>
                </w:r>
              </w:p>
            </w:tc>
            <w:tc>
              <w:tcPr>
                <w:tcW w:w="2055" w:type="dxa"/>
                <w:shd w:val="clear" w:color="auto" w:fill="auto"/>
                <w:tcMar>
                  <w:top w:w="100" w:type="dxa"/>
                  <w:left w:w="100" w:type="dxa"/>
                  <w:bottom w:w="100" w:type="dxa"/>
                  <w:right w:w="100" w:type="dxa"/>
                </w:tcMar>
              </w:tcPr>
              <w:p w14:paraId="56952FCD"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sz w:val="20"/>
                    <w:szCs w:val="20"/>
                  </w:rPr>
                </w:pPr>
                <w:r>
                  <w:rPr>
                    <w:rFonts w:ascii="Times New Roman" w:eastAsia="Times New Roman" w:hAnsi="Times New Roman"/>
                    <w:sz w:val="20"/>
                    <w:szCs w:val="20"/>
                  </w:rPr>
                  <w:t>0,866</w:t>
                </w:r>
              </w:p>
            </w:tc>
          </w:tr>
          <w:tr w:rsidR="001B4B84" w14:paraId="36DF7BDC" w14:textId="77777777">
            <w:trPr>
              <w:jc w:val="center"/>
            </w:trPr>
            <w:tc>
              <w:tcPr>
                <w:tcW w:w="1995" w:type="dxa"/>
                <w:shd w:val="clear" w:color="auto" w:fill="auto"/>
                <w:tcMar>
                  <w:top w:w="100" w:type="dxa"/>
                  <w:left w:w="100" w:type="dxa"/>
                  <w:bottom w:w="100" w:type="dxa"/>
                  <w:right w:w="100" w:type="dxa"/>
                </w:tcMar>
              </w:tcPr>
              <w:p w14:paraId="22A151E6"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sz w:val="20"/>
                    <w:szCs w:val="20"/>
                  </w:rPr>
                </w:pPr>
                <w:r>
                  <w:rPr>
                    <w:rFonts w:ascii="Times New Roman" w:eastAsia="Times New Roman" w:hAnsi="Times New Roman"/>
                    <w:sz w:val="20"/>
                    <w:szCs w:val="20"/>
                  </w:rPr>
                  <w:t>Innovación</w:t>
                </w:r>
              </w:p>
            </w:tc>
            <w:tc>
              <w:tcPr>
                <w:tcW w:w="2055" w:type="dxa"/>
                <w:shd w:val="clear" w:color="auto" w:fill="auto"/>
                <w:tcMar>
                  <w:top w:w="100" w:type="dxa"/>
                  <w:left w:w="100" w:type="dxa"/>
                  <w:bottom w:w="100" w:type="dxa"/>
                  <w:right w:w="100" w:type="dxa"/>
                </w:tcMar>
              </w:tcPr>
              <w:p w14:paraId="21CFAAFD" w14:textId="77777777" w:rsidR="001B4B84" w:rsidRDefault="00000000">
                <w:pPr>
                  <w:widowControl w:val="0"/>
                  <w:pBdr>
                    <w:top w:val="nil"/>
                    <w:left w:val="nil"/>
                    <w:bottom w:val="nil"/>
                    <w:right w:val="nil"/>
                    <w:between w:val="nil"/>
                  </w:pBdr>
                  <w:spacing w:after="0" w:line="240" w:lineRule="auto"/>
                  <w:rPr>
                    <w:rFonts w:ascii="Times New Roman" w:eastAsia="Times New Roman" w:hAnsi="Times New Roman"/>
                    <w:sz w:val="20"/>
                    <w:szCs w:val="20"/>
                  </w:rPr>
                </w:pPr>
                <w:r>
                  <w:rPr>
                    <w:rFonts w:ascii="Times New Roman" w:eastAsia="Times New Roman" w:hAnsi="Times New Roman"/>
                    <w:sz w:val="20"/>
                    <w:szCs w:val="20"/>
                  </w:rPr>
                  <w:t>0,844</w:t>
                </w:r>
              </w:p>
            </w:tc>
          </w:tr>
        </w:tbl>
      </w:sdtContent>
    </w:sdt>
    <w:p w14:paraId="369F797E" w14:textId="77777777" w:rsidR="001B4B84" w:rsidRDefault="001B4B84">
      <w:pPr>
        <w:pBdr>
          <w:top w:val="nil"/>
          <w:left w:val="nil"/>
          <w:bottom w:val="nil"/>
          <w:right w:val="nil"/>
          <w:between w:val="nil"/>
        </w:pBdr>
        <w:spacing w:line="240" w:lineRule="auto"/>
        <w:ind w:left="-283" w:firstLine="283"/>
        <w:jc w:val="both"/>
        <w:rPr>
          <w:rFonts w:ascii="Times New Roman" w:eastAsia="Times New Roman" w:hAnsi="Times New Roman"/>
          <w:sz w:val="24"/>
          <w:szCs w:val="24"/>
        </w:rPr>
      </w:pPr>
    </w:p>
    <w:p w14:paraId="1F04B70F" w14:textId="77777777" w:rsidR="001B4B84" w:rsidRDefault="00000000">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1.4.2. Comprobación del Modelo</w:t>
      </w:r>
    </w:p>
    <w:p w14:paraId="12EF7D97" w14:textId="77777777" w:rsidR="001B4B84" w:rsidRDefault="00000000">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Después de realizar el proceso de modelado a través de ecuaciones estructurales, y evidenciar a través de índices de ajuste como SRMR (</w:t>
      </w:r>
      <w:proofErr w:type="spellStart"/>
      <w:r>
        <w:rPr>
          <w:rFonts w:ascii="Times New Roman" w:eastAsia="Times New Roman" w:hAnsi="Times New Roman"/>
          <w:sz w:val="24"/>
          <w:szCs w:val="24"/>
        </w:rPr>
        <w:t>Standardized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root</w:t>
      </w:r>
      <w:proofErr w:type="spellEnd"/>
      <w:r>
        <w:rPr>
          <w:rFonts w:ascii="Times New Roman" w:eastAsia="Times New Roman" w:hAnsi="Times New Roman"/>
          <w:sz w:val="24"/>
          <w:szCs w:val="24"/>
        </w:rPr>
        <w:t xml:space="preserve"> mean </w:t>
      </w:r>
      <w:proofErr w:type="spellStart"/>
      <w:r>
        <w:rPr>
          <w:rFonts w:ascii="Times New Roman" w:eastAsia="Times New Roman" w:hAnsi="Times New Roman"/>
          <w:sz w:val="24"/>
          <w:szCs w:val="24"/>
        </w:rPr>
        <w:t>square</w:t>
      </w:r>
      <w:proofErr w:type="spellEnd"/>
      <w:r>
        <w:rPr>
          <w:rFonts w:ascii="Times New Roman" w:eastAsia="Times New Roman" w:hAnsi="Times New Roman"/>
          <w:sz w:val="24"/>
          <w:szCs w:val="24"/>
        </w:rPr>
        <w:t xml:space="preserve"> residual) y NFI (</w:t>
      </w:r>
      <w:r>
        <w:rPr>
          <w:rFonts w:ascii="Arial" w:eastAsia="Arial" w:hAnsi="Arial" w:cs="Arial"/>
          <w:color w:val="474747"/>
          <w:sz w:val="21"/>
          <w:szCs w:val="21"/>
          <w:highlight w:val="white"/>
        </w:rPr>
        <w:t>Non-</w:t>
      </w:r>
      <w:proofErr w:type="spellStart"/>
      <w:r>
        <w:rPr>
          <w:rFonts w:ascii="Arial" w:eastAsia="Arial" w:hAnsi="Arial" w:cs="Arial"/>
          <w:color w:val="474747"/>
          <w:sz w:val="21"/>
          <w:szCs w:val="21"/>
          <w:highlight w:val="white"/>
        </w:rPr>
        <w:t>Normed</w:t>
      </w:r>
      <w:proofErr w:type="spellEnd"/>
      <w:r>
        <w:rPr>
          <w:rFonts w:ascii="Arial" w:eastAsia="Arial" w:hAnsi="Arial" w:cs="Arial"/>
          <w:color w:val="474747"/>
          <w:sz w:val="21"/>
          <w:szCs w:val="21"/>
          <w:highlight w:val="white"/>
        </w:rPr>
        <w:t xml:space="preserve"> </w:t>
      </w:r>
      <w:proofErr w:type="spellStart"/>
      <w:r>
        <w:rPr>
          <w:rFonts w:ascii="Arial" w:eastAsia="Arial" w:hAnsi="Arial" w:cs="Arial"/>
          <w:color w:val="474747"/>
          <w:sz w:val="21"/>
          <w:szCs w:val="21"/>
          <w:highlight w:val="white"/>
        </w:rPr>
        <w:t>fit</w:t>
      </w:r>
      <w:proofErr w:type="spellEnd"/>
      <w:r>
        <w:rPr>
          <w:rFonts w:ascii="Arial" w:eastAsia="Arial" w:hAnsi="Arial" w:cs="Arial"/>
          <w:color w:val="474747"/>
          <w:sz w:val="21"/>
          <w:szCs w:val="21"/>
          <w:highlight w:val="white"/>
        </w:rPr>
        <w:t xml:space="preserve"> </w:t>
      </w:r>
      <w:proofErr w:type="spellStart"/>
      <w:r>
        <w:rPr>
          <w:rFonts w:ascii="Arial" w:eastAsia="Arial" w:hAnsi="Arial" w:cs="Arial"/>
          <w:color w:val="474747"/>
          <w:sz w:val="21"/>
          <w:szCs w:val="21"/>
          <w:highlight w:val="white"/>
        </w:rPr>
        <w:t>index</w:t>
      </w:r>
      <w:proofErr w:type="spellEnd"/>
      <w:r>
        <w:rPr>
          <w:rFonts w:ascii="Times New Roman" w:eastAsia="Times New Roman" w:hAnsi="Times New Roman"/>
          <w:sz w:val="24"/>
          <w:szCs w:val="24"/>
        </w:rPr>
        <w:t xml:space="preserve">) se encontró en principio que el modelo es válido para comprobar las hipótesis planteadas en el estudio (tabla 3). Es importante aclarar </w:t>
      </w:r>
      <w:proofErr w:type="gramStart"/>
      <w:r>
        <w:rPr>
          <w:rFonts w:ascii="Times New Roman" w:eastAsia="Times New Roman" w:hAnsi="Times New Roman"/>
          <w:sz w:val="24"/>
          <w:szCs w:val="24"/>
        </w:rPr>
        <w:t>que</w:t>
      </w:r>
      <w:proofErr w:type="gramEnd"/>
      <w:r>
        <w:rPr>
          <w:rFonts w:ascii="Times New Roman" w:eastAsia="Times New Roman" w:hAnsi="Times New Roman"/>
          <w:sz w:val="24"/>
          <w:szCs w:val="24"/>
        </w:rPr>
        <w:t xml:space="preserve"> dado que la muestra es menor a 100 casos, se recomienda utilizar estos indicadores como lo menciona Rojas-Torres (2020)</w:t>
      </w:r>
      <w:r>
        <w:rPr>
          <w:rFonts w:ascii="Arial" w:eastAsia="Arial" w:hAnsi="Arial" w:cs="Arial"/>
          <w:color w:val="545353"/>
          <w:sz w:val="24"/>
          <w:szCs w:val="24"/>
          <w:highlight w:val="white"/>
        </w:rPr>
        <w:t>.</w:t>
      </w:r>
    </w:p>
    <w:p w14:paraId="08B1B3BE" w14:textId="77777777" w:rsidR="001B4B84" w:rsidRDefault="00000000">
      <w:pPr>
        <w:spacing w:line="240" w:lineRule="auto"/>
        <w:jc w:val="center"/>
        <w:rPr>
          <w:rFonts w:ascii="Times New Roman" w:eastAsia="Times New Roman" w:hAnsi="Times New Roman"/>
          <w:b/>
          <w:sz w:val="20"/>
          <w:szCs w:val="20"/>
        </w:rPr>
      </w:pPr>
      <w:r>
        <w:rPr>
          <w:rFonts w:ascii="Times New Roman" w:eastAsia="Times New Roman" w:hAnsi="Times New Roman"/>
          <w:b/>
          <w:sz w:val="20"/>
          <w:szCs w:val="20"/>
        </w:rPr>
        <w:t>Tabla 3: Ajuste del modelo</w:t>
      </w:r>
    </w:p>
    <w:sdt>
      <w:sdtPr>
        <w:tag w:val="goog_rdk_2"/>
        <w:id w:val="-352733387"/>
        <w:lock w:val="contentLocked"/>
      </w:sdtPr>
      <w:sdtContent>
        <w:tbl>
          <w:tblPr>
            <w:tblStyle w:val="a8"/>
            <w:tblW w:w="61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055"/>
            <w:gridCol w:w="2055"/>
          </w:tblGrid>
          <w:tr w:rsidR="001B4B84" w14:paraId="395164DD" w14:textId="77777777">
            <w:trPr>
              <w:jc w:val="center"/>
            </w:trPr>
            <w:tc>
              <w:tcPr>
                <w:tcW w:w="1995" w:type="dxa"/>
                <w:shd w:val="clear" w:color="auto" w:fill="auto"/>
                <w:tcMar>
                  <w:top w:w="100" w:type="dxa"/>
                  <w:left w:w="100" w:type="dxa"/>
                  <w:bottom w:w="100" w:type="dxa"/>
                  <w:right w:w="100" w:type="dxa"/>
                </w:tcMar>
              </w:tcPr>
              <w:p w14:paraId="2449481B" w14:textId="77777777" w:rsidR="001B4B84" w:rsidRDefault="00000000">
                <w:pPr>
                  <w:widowControl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Indicador</w:t>
                </w:r>
              </w:p>
            </w:tc>
            <w:tc>
              <w:tcPr>
                <w:tcW w:w="2055" w:type="dxa"/>
                <w:shd w:val="clear" w:color="auto" w:fill="auto"/>
                <w:tcMar>
                  <w:top w:w="100" w:type="dxa"/>
                  <w:left w:w="100" w:type="dxa"/>
                  <w:bottom w:w="100" w:type="dxa"/>
                  <w:right w:w="100" w:type="dxa"/>
                </w:tcMar>
              </w:tcPr>
              <w:p w14:paraId="2A60039C" w14:textId="77777777" w:rsidR="001B4B84" w:rsidRDefault="00000000">
                <w:pPr>
                  <w:widowControl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Valor</w:t>
                </w:r>
              </w:p>
            </w:tc>
            <w:tc>
              <w:tcPr>
                <w:tcW w:w="2055" w:type="dxa"/>
                <w:shd w:val="clear" w:color="auto" w:fill="auto"/>
                <w:tcMar>
                  <w:top w:w="100" w:type="dxa"/>
                  <w:left w:w="100" w:type="dxa"/>
                  <w:bottom w:w="100" w:type="dxa"/>
                  <w:right w:w="100" w:type="dxa"/>
                </w:tcMar>
              </w:tcPr>
              <w:p w14:paraId="40773C4E" w14:textId="77777777" w:rsidR="001B4B84" w:rsidRDefault="00000000">
                <w:pPr>
                  <w:widowControl w:val="0"/>
                  <w:spacing w:after="0" w:line="240" w:lineRule="auto"/>
                  <w:rPr>
                    <w:rFonts w:ascii="Times New Roman" w:eastAsia="Times New Roman" w:hAnsi="Times New Roman"/>
                    <w:b/>
                    <w:sz w:val="20"/>
                    <w:szCs w:val="20"/>
                  </w:rPr>
                </w:pPr>
                <w:r>
                  <w:rPr>
                    <w:rFonts w:ascii="Times New Roman" w:eastAsia="Times New Roman" w:hAnsi="Times New Roman"/>
                    <w:b/>
                    <w:sz w:val="20"/>
                    <w:szCs w:val="20"/>
                  </w:rPr>
                  <w:t>Valor de referencia</w:t>
                </w:r>
              </w:p>
            </w:tc>
          </w:tr>
          <w:tr w:rsidR="001B4B84" w14:paraId="4CACBFB0" w14:textId="77777777">
            <w:trPr>
              <w:jc w:val="center"/>
            </w:trPr>
            <w:tc>
              <w:tcPr>
                <w:tcW w:w="1995" w:type="dxa"/>
                <w:shd w:val="clear" w:color="auto" w:fill="auto"/>
                <w:tcMar>
                  <w:top w:w="100" w:type="dxa"/>
                  <w:left w:w="100" w:type="dxa"/>
                  <w:bottom w:w="100" w:type="dxa"/>
                  <w:right w:w="100" w:type="dxa"/>
                </w:tcMar>
              </w:tcPr>
              <w:p w14:paraId="029734AD" w14:textId="77777777" w:rsidR="001B4B84" w:rsidRDefault="00000000">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SRMR</w:t>
                </w:r>
              </w:p>
            </w:tc>
            <w:tc>
              <w:tcPr>
                <w:tcW w:w="2055" w:type="dxa"/>
                <w:shd w:val="clear" w:color="auto" w:fill="auto"/>
                <w:tcMar>
                  <w:top w:w="100" w:type="dxa"/>
                  <w:left w:w="100" w:type="dxa"/>
                  <w:bottom w:w="100" w:type="dxa"/>
                  <w:right w:w="100" w:type="dxa"/>
                </w:tcMar>
              </w:tcPr>
              <w:p w14:paraId="7DCC81C6" w14:textId="77777777" w:rsidR="001B4B84" w:rsidRDefault="00000000">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0,071</w:t>
                </w:r>
              </w:p>
            </w:tc>
            <w:tc>
              <w:tcPr>
                <w:tcW w:w="2055" w:type="dxa"/>
                <w:shd w:val="clear" w:color="auto" w:fill="auto"/>
                <w:tcMar>
                  <w:top w:w="100" w:type="dxa"/>
                  <w:left w:w="100" w:type="dxa"/>
                  <w:bottom w:w="100" w:type="dxa"/>
                  <w:right w:w="100" w:type="dxa"/>
                </w:tcMar>
              </w:tcPr>
              <w:p w14:paraId="299B7A3A" w14:textId="77777777" w:rsidR="001B4B84" w:rsidRDefault="00000000">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&lt;0,08 (Hu y Bentler, 1999)</w:t>
                </w:r>
              </w:p>
            </w:tc>
          </w:tr>
          <w:tr w:rsidR="001B4B84" w14:paraId="16EE4E04" w14:textId="77777777">
            <w:trPr>
              <w:jc w:val="center"/>
            </w:trPr>
            <w:tc>
              <w:tcPr>
                <w:tcW w:w="1995" w:type="dxa"/>
                <w:shd w:val="clear" w:color="auto" w:fill="auto"/>
                <w:tcMar>
                  <w:top w:w="100" w:type="dxa"/>
                  <w:left w:w="100" w:type="dxa"/>
                  <w:bottom w:w="100" w:type="dxa"/>
                  <w:right w:w="100" w:type="dxa"/>
                </w:tcMar>
              </w:tcPr>
              <w:p w14:paraId="1A429AC2" w14:textId="77777777" w:rsidR="001B4B84" w:rsidRDefault="00000000">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NFI</w:t>
                </w:r>
              </w:p>
            </w:tc>
            <w:tc>
              <w:tcPr>
                <w:tcW w:w="2055" w:type="dxa"/>
                <w:shd w:val="clear" w:color="auto" w:fill="auto"/>
                <w:tcMar>
                  <w:top w:w="100" w:type="dxa"/>
                  <w:left w:w="100" w:type="dxa"/>
                  <w:bottom w:w="100" w:type="dxa"/>
                  <w:right w:w="100" w:type="dxa"/>
                </w:tcMar>
              </w:tcPr>
              <w:p w14:paraId="0837B376" w14:textId="77777777" w:rsidR="001B4B84" w:rsidRDefault="00000000">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0,9</w:t>
                </w:r>
              </w:p>
            </w:tc>
            <w:tc>
              <w:tcPr>
                <w:tcW w:w="2055" w:type="dxa"/>
                <w:shd w:val="clear" w:color="auto" w:fill="auto"/>
                <w:tcMar>
                  <w:top w:w="100" w:type="dxa"/>
                  <w:left w:w="100" w:type="dxa"/>
                  <w:bottom w:w="100" w:type="dxa"/>
                  <w:right w:w="100" w:type="dxa"/>
                </w:tcMar>
              </w:tcPr>
              <w:p w14:paraId="5BEC6512" w14:textId="77777777" w:rsidR="001B4B84" w:rsidRDefault="00000000">
                <w:pPr>
                  <w:widowControl w:val="0"/>
                  <w:spacing w:after="0" w:line="240" w:lineRule="auto"/>
                  <w:rPr>
                    <w:rFonts w:ascii="Times New Roman" w:eastAsia="Times New Roman" w:hAnsi="Times New Roman"/>
                    <w:sz w:val="20"/>
                    <w:szCs w:val="20"/>
                  </w:rPr>
                </w:pPr>
                <w:r>
                  <w:rPr>
                    <w:rFonts w:ascii="Times New Roman" w:eastAsia="Times New Roman" w:hAnsi="Times New Roman"/>
                    <w:sz w:val="20"/>
                    <w:szCs w:val="20"/>
                  </w:rPr>
                  <w:t>&gt;0,9 (Byrne, 1998)</w:t>
                </w:r>
              </w:p>
            </w:tc>
          </w:tr>
        </w:tbl>
      </w:sdtContent>
    </w:sdt>
    <w:p w14:paraId="4F33A733" w14:textId="77777777" w:rsidR="001B4B84" w:rsidRDefault="001B4B84">
      <w:pPr>
        <w:spacing w:line="240" w:lineRule="auto"/>
        <w:ind w:left="-283"/>
        <w:jc w:val="both"/>
        <w:rPr>
          <w:rFonts w:ascii="Times New Roman" w:eastAsia="Times New Roman" w:hAnsi="Times New Roman"/>
          <w:sz w:val="24"/>
          <w:szCs w:val="24"/>
        </w:rPr>
      </w:pPr>
    </w:p>
    <w:p w14:paraId="0BA22EC4" w14:textId="77777777" w:rsidR="001B4B84" w:rsidRDefault="00000000">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En este sentido, el modelo estructural de la relación entre aprendizaje organizacional, gestión del conocimiento e innovación se ilustra en la figura 2.</w:t>
      </w:r>
    </w:p>
    <w:p w14:paraId="67E8C382" w14:textId="77777777" w:rsidR="001B4B84" w:rsidRDefault="00000000">
      <w:pPr>
        <w:spacing w:line="240" w:lineRule="auto"/>
        <w:jc w:val="center"/>
        <w:rPr>
          <w:rFonts w:ascii="Times New Roman" w:eastAsia="Times New Roman" w:hAnsi="Times New Roman"/>
          <w:sz w:val="24"/>
          <w:szCs w:val="24"/>
        </w:rPr>
      </w:pPr>
      <w:r>
        <w:rPr>
          <w:rFonts w:ascii="Times New Roman" w:eastAsia="Times New Roman" w:hAnsi="Times New Roman"/>
          <w:b/>
          <w:sz w:val="20"/>
          <w:szCs w:val="20"/>
        </w:rPr>
        <w:t>Figura 2: Modelo Estructural</w:t>
      </w:r>
    </w:p>
    <w:p w14:paraId="67A135CE" w14:textId="20598B58" w:rsidR="001B4B84" w:rsidRDefault="00C50089">
      <w:pPr>
        <w:spacing w:line="240" w:lineRule="auto"/>
        <w:jc w:val="center"/>
        <w:rPr>
          <w:rFonts w:ascii="Times New Roman" w:eastAsia="Times New Roman" w:hAnsi="Times New Roman"/>
          <w:sz w:val="24"/>
          <w:szCs w:val="24"/>
        </w:rPr>
      </w:pPr>
      <w:r>
        <w:rPr>
          <w:rFonts w:ascii="Times New Roman" w:eastAsia="Times New Roman" w:hAnsi="Times New Roman"/>
          <w:noProof/>
          <w:sz w:val="24"/>
          <w:szCs w:val="24"/>
        </w:rPr>
        <mc:AlternateContent>
          <mc:Choice Requires="wpg">
            <w:drawing>
              <wp:anchor distT="0" distB="0" distL="114300" distR="114300" simplePos="0" relativeHeight="251661312" behindDoc="0" locked="0" layoutInCell="1" allowOverlap="1" wp14:anchorId="2643746E" wp14:editId="228A8C4E">
                <wp:simplePos x="0" y="0"/>
                <wp:positionH relativeFrom="column">
                  <wp:posOffset>1978957</wp:posOffset>
                </wp:positionH>
                <wp:positionV relativeFrom="paragraph">
                  <wp:posOffset>2260762</wp:posOffset>
                </wp:positionV>
                <wp:extent cx="2213769" cy="331109"/>
                <wp:effectExtent l="0" t="0" r="0" b="0"/>
                <wp:wrapNone/>
                <wp:docPr id="304406064" name="Grupo 3"/>
                <wp:cNvGraphicFramePr/>
                <a:graphic xmlns:a="http://schemas.openxmlformats.org/drawingml/2006/main">
                  <a:graphicData uri="http://schemas.microsoft.com/office/word/2010/wordprocessingGroup">
                    <wpg:wgp>
                      <wpg:cNvGrpSpPr/>
                      <wpg:grpSpPr>
                        <a:xfrm>
                          <a:off x="0" y="0"/>
                          <a:ext cx="2213769" cy="331109"/>
                          <a:chOff x="0" y="0"/>
                          <a:chExt cx="2213769" cy="331109"/>
                        </a:xfrm>
                      </wpg:grpSpPr>
                      <wps:wsp>
                        <wps:cNvPr id="1756881767" name="Cuadro de texto 1"/>
                        <wps:cNvSpPr txBox="1"/>
                        <wps:spPr>
                          <a:xfrm>
                            <a:off x="0" y="0"/>
                            <a:ext cx="486136" cy="280525"/>
                          </a:xfrm>
                          <a:prstGeom prst="rect">
                            <a:avLst/>
                          </a:prstGeom>
                          <a:solidFill>
                            <a:schemeClr val="lt1"/>
                          </a:solidFill>
                          <a:ln w="6350">
                            <a:noFill/>
                          </a:ln>
                        </wps:spPr>
                        <wps:txbx>
                          <w:txbxContent>
                            <w:p w14:paraId="226F063C" w14:textId="38430AB4" w:rsidR="00463D78" w:rsidRPr="00463D78" w:rsidRDefault="00463D78">
                              <w:pPr>
                                <w:rPr>
                                  <w:sz w:val="11"/>
                                  <w:szCs w:val="11"/>
                                  <w:lang w:val="es-ES_tradnl"/>
                                </w:rPr>
                              </w:pPr>
                              <w:r w:rsidRPr="00463D78">
                                <w:rPr>
                                  <w:sz w:val="11"/>
                                  <w:szCs w:val="11"/>
                                  <w:lang w:val="es-ES_tradnl"/>
                                </w:rPr>
                                <w:t>INN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428337" name="Cuadro de texto 1"/>
                        <wps:cNvSpPr txBox="1"/>
                        <wps:spPr>
                          <a:xfrm>
                            <a:off x="1727633" y="50584"/>
                            <a:ext cx="486136" cy="280525"/>
                          </a:xfrm>
                          <a:prstGeom prst="rect">
                            <a:avLst/>
                          </a:prstGeom>
                          <a:solidFill>
                            <a:schemeClr val="lt1"/>
                          </a:solidFill>
                          <a:ln w="6350">
                            <a:noFill/>
                          </a:ln>
                        </wps:spPr>
                        <wps:txbx>
                          <w:txbxContent>
                            <w:p w14:paraId="3FD6CF7E" w14:textId="2A417C1E" w:rsidR="00463D78" w:rsidRPr="00463D78" w:rsidRDefault="00463D78" w:rsidP="00463D78">
                              <w:pPr>
                                <w:rPr>
                                  <w:sz w:val="11"/>
                                  <w:szCs w:val="11"/>
                                  <w:lang w:val="es-ES_tradnl"/>
                                </w:rPr>
                              </w:pPr>
                              <w:r>
                                <w:rPr>
                                  <w:sz w:val="11"/>
                                  <w:szCs w:val="11"/>
                                  <w:lang w:val="es-ES_tradnl"/>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43746E" id="Grupo 3" o:spid="_x0000_s1026" style="position:absolute;left:0;text-align:left;margin-left:155.8pt;margin-top:178pt;width:174.3pt;height:26.05pt;z-index:251661312" coordsize="22137,33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">
                <v:shapetype id="_x0000_t202" coordsize="21600,21600" o:spt="202" path="m,l,21600r21600,l21600,xe">
                  <v:stroke joinstyle="miter"/>
                  <v:path gradientshapeok="t" o:connecttype="rect"/>
                </v:shapetype>
                <v:shape id="Cuadro de texto 1" o:spid="_x0000_s1027" type="#_x0000_t202" style="position:absolute;width:4861;height:28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" fillcolor="white [3201]" stroked="f" strokeweight=".5pt">
                  <v:textbox>
                    <w:txbxContent>
                      <w:p w14:paraId="226F063C" w14:textId="38430AB4" w:rsidR="00463D78" w:rsidRPr="00463D78" w:rsidRDefault="00463D78">
                        <w:pPr>
                          <w:rPr>
                            <w:sz w:val="11"/>
                            <w:szCs w:val="11"/>
                            <w:lang w:val="es-ES_tradnl"/>
                          </w:rPr>
                        </w:pPr>
                        <w:r w:rsidRPr="00463D78">
                          <w:rPr>
                            <w:sz w:val="11"/>
                            <w:szCs w:val="11"/>
                            <w:lang w:val="es-ES_tradnl"/>
                          </w:rPr>
                          <w:t>INN</w:t>
                        </w:r>
                      </w:p>
                    </w:txbxContent>
                  </v:textbox>
                </v:shape>
                <v:shape id="Cuadro de texto 1" o:spid="_x0000_s1028" type="#_x0000_t202" style="position:absolute;left:17276;top:505;width:4861;height:28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" fillcolor="white [3201]" stroked="f" strokeweight=".5pt">
                  <v:textbox>
                    <w:txbxContent>
                      <w:p w14:paraId="3FD6CF7E" w14:textId="2A417C1E" w:rsidR="00463D78" w:rsidRPr="00463D78" w:rsidRDefault="00463D78" w:rsidP="00463D78">
                        <w:pPr>
                          <w:rPr>
                            <w:sz w:val="11"/>
                            <w:szCs w:val="11"/>
                            <w:lang w:val="es-ES_tradnl"/>
                          </w:rPr>
                        </w:pPr>
                        <w:r>
                          <w:rPr>
                            <w:sz w:val="11"/>
                            <w:szCs w:val="11"/>
                            <w:lang w:val="es-ES_tradnl"/>
                          </w:rPr>
                          <w:t>KM</w:t>
                        </w:r>
                      </w:p>
                    </w:txbxContent>
                  </v:textbox>
                </v:shape>
              </v:group>
            </w:pict>
          </mc:Fallback>
        </mc:AlternateContent>
      </w:r>
      <w:r w:rsidR="00000000">
        <w:rPr>
          <w:rFonts w:ascii="Times New Roman" w:eastAsia="Times New Roman" w:hAnsi="Times New Roman"/>
          <w:noProof/>
          <w:sz w:val="24"/>
          <w:szCs w:val="24"/>
        </w:rPr>
        <w:drawing>
          <wp:inline distT="0" distB="0" distL="0" distR="0" wp14:anchorId="41F24586" wp14:editId="01648A18">
            <wp:extent cx="3995346" cy="2578263"/>
            <wp:effectExtent l="0" t="0" r="5715" b="0"/>
            <wp:docPr id="10971705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995346" cy="2578263"/>
                    </a:xfrm>
                    <a:prstGeom prst="rect">
                      <a:avLst/>
                    </a:prstGeom>
                    <a:ln/>
                  </pic:spPr>
                </pic:pic>
              </a:graphicData>
            </a:graphic>
          </wp:inline>
        </w:drawing>
      </w:r>
    </w:p>
    <w:p w14:paraId="2E9A0909" w14:textId="77777777" w:rsidR="001B4B84" w:rsidRDefault="001B4B84">
      <w:pPr>
        <w:spacing w:line="240" w:lineRule="auto"/>
        <w:jc w:val="both"/>
        <w:rPr>
          <w:rFonts w:ascii="Times New Roman" w:eastAsia="Times New Roman" w:hAnsi="Times New Roman"/>
          <w:sz w:val="24"/>
          <w:szCs w:val="24"/>
        </w:rPr>
      </w:pPr>
    </w:p>
    <w:p w14:paraId="66597901" w14:textId="68738DFC" w:rsidR="001B4B84" w:rsidRDefault="00000000">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De acuerdo al modelo, se evidencia que las hipótesis definidas en el estudio H1, H2 y H3 son comprobadas positivamente, sin embargo, es importante mencionar que la relación con mayor peso H1 destacando el peso que tienen las </w:t>
      </w:r>
      <w:r w:rsidR="00C50089">
        <w:rPr>
          <w:rFonts w:ascii="Times New Roman" w:eastAsia="Times New Roman" w:hAnsi="Times New Roman"/>
          <w:sz w:val="24"/>
          <w:szCs w:val="24"/>
        </w:rPr>
        <w:t>prácticas</w:t>
      </w:r>
      <w:r>
        <w:rPr>
          <w:rFonts w:ascii="Times New Roman" w:eastAsia="Times New Roman" w:hAnsi="Times New Roman"/>
          <w:sz w:val="24"/>
          <w:szCs w:val="24"/>
        </w:rPr>
        <w:t xml:space="preserve"> de aprendizaje organizacional en el desarrollo de los procesos de innovación en medianas empresas colombianas; así como también la H2 donde se ratifica lo mencionado por diversos autores en donde el aprendizaje organizacional se relaciona con la gestión del conocimiento.</w:t>
      </w:r>
    </w:p>
    <w:p w14:paraId="11841A4C" w14:textId="04EA2247" w:rsidR="001B4B84"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Aspecto que requiere mayor profundización, es la hipótesis H3 donde las </w:t>
      </w:r>
      <w:r w:rsidR="00C50089">
        <w:rPr>
          <w:rFonts w:ascii="Times New Roman" w:eastAsia="Times New Roman" w:hAnsi="Times New Roman"/>
          <w:sz w:val="24"/>
          <w:szCs w:val="24"/>
        </w:rPr>
        <w:t>prácticas</w:t>
      </w:r>
      <w:r>
        <w:rPr>
          <w:rFonts w:ascii="Times New Roman" w:eastAsia="Times New Roman" w:hAnsi="Times New Roman"/>
          <w:sz w:val="24"/>
          <w:szCs w:val="24"/>
        </w:rPr>
        <w:t xml:space="preserve"> de gestión del conocimiento en las medianas empresas de Colombia tienen una influencia menor sobre los procesos de innovación que realizan estas empresas.</w:t>
      </w:r>
    </w:p>
    <w:p w14:paraId="13F17D8D" w14:textId="77777777" w:rsidR="001B4B84" w:rsidRDefault="001B4B84">
      <w:pPr>
        <w:spacing w:line="240" w:lineRule="auto"/>
        <w:jc w:val="both"/>
        <w:rPr>
          <w:rFonts w:ascii="Times New Roman" w:eastAsia="Times New Roman" w:hAnsi="Times New Roman"/>
          <w:sz w:val="24"/>
          <w:szCs w:val="24"/>
        </w:rPr>
      </w:pPr>
    </w:p>
    <w:p w14:paraId="326A3695" w14:textId="77777777" w:rsidR="001B4B84" w:rsidRDefault="00000000">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 xml:space="preserve">1.5. Conclusiones y Discusión </w:t>
      </w:r>
      <w:r>
        <w:rPr>
          <w:rFonts w:ascii="Times New Roman" w:eastAsia="Times New Roman" w:hAnsi="Times New Roman"/>
          <w:i/>
          <w:sz w:val="26"/>
          <w:szCs w:val="26"/>
        </w:rPr>
        <w:t xml:space="preserve"> </w:t>
      </w:r>
    </w:p>
    <w:p w14:paraId="2FBCB9FD" w14:textId="77777777"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El estudio permitió determinar que las empresas medianas en Colombia han impulsado procesos de aprendizaje organizacional con el propósito de mejorar la innovación, aspecto que les facilita ser más competitivas y sostenibles en el tiempo; implicando igualmente que el conocimiento que ha generado desde su creación sea valorado y gestionado mejorando sus procesos y desarrollando procesos de formación más efectivos.</w:t>
      </w:r>
    </w:p>
    <w:p w14:paraId="7637D9CD" w14:textId="77777777"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Los resultados de la investigación evidenciaron que los avances teóricos </w:t>
      </w:r>
      <w:proofErr w:type="spellStart"/>
      <w:r>
        <w:rPr>
          <w:rFonts w:ascii="Times New Roman" w:eastAsia="Times New Roman" w:hAnsi="Times New Roman"/>
          <w:sz w:val="24"/>
          <w:szCs w:val="24"/>
        </w:rPr>
        <w:t>al rededor</w:t>
      </w:r>
      <w:proofErr w:type="spellEnd"/>
      <w:r>
        <w:rPr>
          <w:rFonts w:ascii="Times New Roman" w:eastAsia="Times New Roman" w:hAnsi="Times New Roman"/>
          <w:sz w:val="24"/>
          <w:szCs w:val="24"/>
        </w:rPr>
        <w:t xml:space="preserve"> de la relación aprendizaje organizacional, gestión del conocimiento e innovación aplican en las empresas analizadas; destacando que estas organizaciones le dan importancia a las </w:t>
      </w:r>
      <w:proofErr w:type="spellStart"/>
      <w:r>
        <w:rPr>
          <w:rFonts w:ascii="Times New Roman" w:eastAsia="Times New Roman" w:hAnsi="Times New Roman"/>
          <w:sz w:val="24"/>
          <w:szCs w:val="24"/>
        </w:rPr>
        <w:t>ps</w:t>
      </w:r>
      <w:proofErr w:type="spellEnd"/>
      <w:r>
        <w:rPr>
          <w:rFonts w:ascii="Times New Roman" w:eastAsia="Times New Roman" w:hAnsi="Times New Roman"/>
          <w:sz w:val="24"/>
          <w:szCs w:val="24"/>
        </w:rPr>
        <w:t xml:space="preserve"> lecciones aprendidas, como una práctica de aprendizaje organizacional; así como también el sistema de reconocimiento y recompensas y fortaleciendo la cultura organizacional, como procesos para mejorar su innovación; y para gestionar conocimiento, definen un presupuesto y un plan de formación como una prioridad para su organización.</w:t>
      </w:r>
    </w:p>
    <w:p w14:paraId="57AB84D5" w14:textId="77777777" w:rsidR="001B4B84" w:rsidRDefault="00000000">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lastRenderedPageBreak/>
        <w:t>Finalmente, esta investigación genera posibles estudios a futuro en función de profundizar la madurez tanto a nivel de la gestión del conocimiento como en innovación; igualmente, como el análisis en profundidad de los modelos de aprendizaje organizacional que se utilizan en estas organizaciones.</w:t>
      </w:r>
    </w:p>
    <w:p w14:paraId="6A13C6DA" w14:textId="77777777" w:rsidR="001B4B84" w:rsidRPr="00463D78" w:rsidRDefault="00000000">
      <w:pPr>
        <w:spacing w:line="240" w:lineRule="auto"/>
        <w:jc w:val="both"/>
        <w:rPr>
          <w:rFonts w:ascii="Times New Roman" w:eastAsia="Times New Roman" w:hAnsi="Times New Roman"/>
          <w:sz w:val="24"/>
          <w:szCs w:val="24"/>
          <w:lang w:val="en-US"/>
        </w:rPr>
      </w:pPr>
      <w:r w:rsidRPr="00463D78">
        <w:rPr>
          <w:rFonts w:ascii="Times New Roman" w:eastAsia="Times New Roman" w:hAnsi="Times New Roman"/>
          <w:b/>
          <w:sz w:val="24"/>
          <w:szCs w:val="24"/>
          <w:lang w:val="en-US"/>
        </w:rPr>
        <w:t xml:space="preserve">REFERENCIAS  </w:t>
      </w:r>
    </w:p>
    <w:p w14:paraId="32B2759D" w14:textId="77777777" w:rsidR="00C50089"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Ardila, J. J. S., Rojas, A. M., &amp; Rodríguez, L. F. (2018). Gestión del conocimiento. Tecnología Investigación y Academia, 6(2), 46-51.</w:t>
      </w:r>
    </w:p>
    <w:p w14:paraId="0356E939" w14:textId="77777777" w:rsidR="00C50089" w:rsidRPr="00463D78" w:rsidRDefault="00C50089">
      <w:pPr>
        <w:spacing w:line="240" w:lineRule="auto"/>
        <w:ind w:left="709"/>
        <w:jc w:val="both"/>
        <w:rPr>
          <w:rFonts w:ascii="Times New Roman" w:eastAsia="Times New Roman" w:hAnsi="Times New Roman"/>
          <w:sz w:val="24"/>
          <w:szCs w:val="24"/>
          <w:lang w:val="en-US"/>
        </w:rPr>
      </w:pPr>
      <w:proofErr w:type="spellStart"/>
      <w:r w:rsidRPr="00463D78">
        <w:rPr>
          <w:rFonts w:ascii="Times New Roman" w:eastAsia="Times New Roman" w:hAnsi="Times New Roman"/>
          <w:sz w:val="24"/>
          <w:szCs w:val="24"/>
          <w:lang w:val="en-US"/>
        </w:rPr>
        <w:t>Argote</w:t>
      </w:r>
      <w:proofErr w:type="spellEnd"/>
      <w:r w:rsidRPr="00463D78">
        <w:rPr>
          <w:rFonts w:ascii="Times New Roman" w:eastAsia="Times New Roman" w:hAnsi="Times New Roman"/>
          <w:sz w:val="24"/>
          <w:szCs w:val="24"/>
          <w:lang w:val="en-US"/>
        </w:rPr>
        <w:t xml:space="preserve">, L., &amp; </w:t>
      </w:r>
      <w:proofErr w:type="spellStart"/>
      <w:r w:rsidRPr="00463D78">
        <w:rPr>
          <w:rFonts w:ascii="Times New Roman" w:eastAsia="Times New Roman" w:hAnsi="Times New Roman"/>
          <w:sz w:val="24"/>
          <w:szCs w:val="24"/>
          <w:lang w:val="en-US"/>
        </w:rPr>
        <w:t>Miron-Spektor</w:t>
      </w:r>
      <w:proofErr w:type="spellEnd"/>
      <w:r w:rsidRPr="00463D78">
        <w:rPr>
          <w:rFonts w:ascii="Times New Roman" w:eastAsia="Times New Roman" w:hAnsi="Times New Roman"/>
          <w:sz w:val="24"/>
          <w:szCs w:val="24"/>
          <w:lang w:val="en-US"/>
        </w:rPr>
        <w:t xml:space="preserve">, E. (2011). Organizational Learning: From Experience to Knowledge. </w:t>
      </w:r>
      <w:r w:rsidRPr="00463D78">
        <w:rPr>
          <w:rFonts w:ascii="Times New Roman" w:eastAsia="Times New Roman" w:hAnsi="Times New Roman"/>
          <w:i/>
          <w:sz w:val="24"/>
          <w:szCs w:val="24"/>
          <w:lang w:val="en-US"/>
        </w:rPr>
        <w:t>Organization Science</w:t>
      </w:r>
      <w:r w:rsidRPr="00463D78">
        <w:rPr>
          <w:rFonts w:ascii="Times New Roman" w:eastAsia="Times New Roman" w:hAnsi="Times New Roman"/>
          <w:sz w:val="24"/>
          <w:szCs w:val="24"/>
          <w:lang w:val="en-US"/>
        </w:rPr>
        <w:t>, 22(5), 1123-1137.</w:t>
      </w:r>
    </w:p>
    <w:p w14:paraId="383DD360" w14:textId="77777777" w:rsidR="00C50089" w:rsidRPr="00463D78"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lang w:val="en-US"/>
        </w:rPr>
      </w:pPr>
      <w:proofErr w:type="spellStart"/>
      <w:r w:rsidRPr="00463D78">
        <w:rPr>
          <w:rFonts w:ascii="Times New Roman" w:eastAsia="Times New Roman" w:hAnsi="Times New Roman"/>
          <w:sz w:val="24"/>
          <w:szCs w:val="24"/>
          <w:lang w:val="en-US"/>
        </w:rPr>
        <w:t>Basten</w:t>
      </w:r>
      <w:proofErr w:type="spellEnd"/>
      <w:r w:rsidRPr="00463D78">
        <w:rPr>
          <w:rFonts w:ascii="Times New Roman" w:eastAsia="Times New Roman" w:hAnsi="Times New Roman"/>
          <w:sz w:val="24"/>
          <w:szCs w:val="24"/>
          <w:lang w:val="en-US"/>
        </w:rPr>
        <w:t xml:space="preserve">, D., &amp; </w:t>
      </w:r>
      <w:proofErr w:type="spellStart"/>
      <w:r w:rsidRPr="00463D78">
        <w:rPr>
          <w:rFonts w:ascii="Times New Roman" w:eastAsia="Times New Roman" w:hAnsi="Times New Roman"/>
          <w:sz w:val="24"/>
          <w:szCs w:val="24"/>
          <w:lang w:val="en-US"/>
        </w:rPr>
        <w:t>Haamann</w:t>
      </w:r>
      <w:proofErr w:type="spellEnd"/>
      <w:r w:rsidRPr="00463D78">
        <w:rPr>
          <w:rFonts w:ascii="Times New Roman" w:eastAsia="Times New Roman" w:hAnsi="Times New Roman"/>
          <w:sz w:val="24"/>
          <w:szCs w:val="24"/>
          <w:lang w:val="en-US"/>
        </w:rPr>
        <w:t>, T. (2018). Approaches for organizational learning: A literature review. Sage Open, 8(3), 2158244018794224.</w:t>
      </w:r>
    </w:p>
    <w:p w14:paraId="36E2CF09" w14:textId="77777777" w:rsidR="00C50089" w:rsidRPr="00463D78"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lang w:val="en-US"/>
        </w:rPr>
      </w:pPr>
      <w:proofErr w:type="spellStart"/>
      <w:r w:rsidRPr="00C50089">
        <w:rPr>
          <w:rFonts w:ascii="Times New Roman" w:eastAsia="Times New Roman" w:hAnsi="Times New Roman"/>
          <w:sz w:val="24"/>
          <w:szCs w:val="24"/>
          <w:lang w:val="en-US"/>
        </w:rPr>
        <w:t>Büschgens</w:t>
      </w:r>
      <w:proofErr w:type="spellEnd"/>
      <w:r w:rsidRPr="00C50089">
        <w:rPr>
          <w:rFonts w:ascii="Times New Roman" w:eastAsia="Times New Roman" w:hAnsi="Times New Roman"/>
          <w:sz w:val="24"/>
          <w:szCs w:val="24"/>
          <w:lang w:val="en-US"/>
        </w:rPr>
        <w:t xml:space="preserve">, T., Bausch, A., &amp; </w:t>
      </w:r>
      <w:proofErr w:type="spellStart"/>
      <w:r w:rsidRPr="00C50089">
        <w:rPr>
          <w:rFonts w:ascii="Times New Roman" w:eastAsia="Times New Roman" w:hAnsi="Times New Roman"/>
          <w:sz w:val="24"/>
          <w:szCs w:val="24"/>
          <w:lang w:val="en-US"/>
        </w:rPr>
        <w:t>Balkin</w:t>
      </w:r>
      <w:proofErr w:type="spellEnd"/>
      <w:r w:rsidRPr="00C50089">
        <w:rPr>
          <w:rFonts w:ascii="Times New Roman" w:eastAsia="Times New Roman" w:hAnsi="Times New Roman"/>
          <w:sz w:val="24"/>
          <w:szCs w:val="24"/>
          <w:lang w:val="en-US"/>
        </w:rPr>
        <w:t xml:space="preserve">, D. B. (2013). </w:t>
      </w:r>
      <w:r w:rsidRPr="00463D78">
        <w:rPr>
          <w:rFonts w:ascii="Times New Roman" w:eastAsia="Times New Roman" w:hAnsi="Times New Roman"/>
          <w:sz w:val="24"/>
          <w:szCs w:val="24"/>
          <w:lang w:val="en-US"/>
        </w:rPr>
        <w:t>Organizational culture and innovation: A meta‐analytic review. Journal of product innovation management, 30(4), 763-781.</w:t>
      </w:r>
    </w:p>
    <w:p w14:paraId="362D58D9" w14:textId="77777777" w:rsidR="00C50089" w:rsidRDefault="00C50089">
      <w:pPr>
        <w:shd w:val="clear" w:color="auto" w:fill="FFFFFF"/>
        <w:spacing w:before="240" w:after="240" w:line="240" w:lineRule="auto"/>
        <w:ind w:left="708" w:hanging="708"/>
        <w:jc w:val="both"/>
        <w:rPr>
          <w:rFonts w:ascii="Times New Roman" w:eastAsia="Times New Roman" w:hAnsi="Times New Roman"/>
          <w:sz w:val="24"/>
          <w:szCs w:val="24"/>
        </w:rPr>
      </w:pPr>
      <w:r w:rsidRPr="00463D78">
        <w:rPr>
          <w:rFonts w:ascii="Times New Roman" w:eastAsia="Times New Roman" w:hAnsi="Times New Roman"/>
          <w:sz w:val="24"/>
          <w:szCs w:val="24"/>
          <w:lang w:val="en-US"/>
        </w:rPr>
        <w:t xml:space="preserve">Byrne, Barbara M. (1998). Structural equation modeling with LISREL, PRELIS and SIMPLIS. </w:t>
      </w:r>
      <w:proofErr w:type="spellStart"/>
      <w:r>
        <w:rPr>
          <w:rFonts w:ascii="Times New Roman" w:eastAsia="Times New Roman" w:hAnsi="Times New Roman"/>
          <w:sz w:val="24"/>
          <w:szCs w:val="24"/>
        </w:rPr>
        <w:t>Mahwah</w:t>
      </w:r>
      <w:proofErr w:type="spellEnd"/>
      <w:r>
        <w:rPr>
          <w:rFonts w:ascii="Times New Roman" w:eastAsia="Times New Roman" w:hAnsi="Times New Roman"/>
          <w:sz w:val="24"/>
          <w:szCs w:val="24"/>
        </w:rPr>
        <w:t xml:space="preserve">, Nueva Jersey, </w:t>
      </w:r>
      <w:proofErr w:type="gramStart"/>
      <w:r>
        <w:rPr>
          <w:rFonts w:ascii="Times New Roman" w:eastAsia="Times New Roman" w:hAnsi="Times New Roman"/>
          <w:sz w:val="24"/>
          <w:szCs w:val="24"/>
        </w:rPr>
        <w:t>EEUU</w:t>
      </w:r>
      <w:proofErr w:type="gramEnd"/>
      <w:r>
        <w:rPr>
          <w:rFonts w:ascii="Times New Roman" w:eastAsia="Times New Roman" w:hAnsi="Times New Roman"/>
          <w:sz w:val="24"/>
          <w:szCs w:val="24"/>
        </w:rPr>
        <w:t xml:space="preserve">. Lawrence </w:t>
      </w:r>
      <w:proofErr w:type="spellStart"/>
      <w:r>
        <w:rPr>
          <w:rFonts w:ascii="Times New Roman" w:eastAsia="Times New Roman" w:hAnsi="Times New Roman"/>
          <w:sz w:val="24"/>
          <w:szCs w:val="24"/>
        </w:rPr>
        <w:t>Erlbaum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Associates</w:t>
      </w:r>
      <w:proofErr w:type="spellEnd"/>
      <w:r>
        <w:rPr>
          <w:rFonts w:ascii="Times New Roman" w:eastAsia="Times New Roman" w:hAnsi="Times New Roman"/>
          <w:sz w:val="24"/>
          <w:szCs w:val="24"/>
        </w:rPr>
        <w:t>.</w:t>
      </w:r>
    </w:p>
    <w:p w14:paraId="04B648BD" w14:textId="77777777" w:rsidR="00C50089"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Chávez, Z., &amp; Pérez, H. F. M. (2021). Gestión del conocimiento, creatividad e innovación en la educación universitaria venezolana. </w:t>
      </w:r>
      <w:proofErr w:type="spellStart"/>
      <w:r>
        <w:rPr>
          <w:rFonts w:ascii="Times New Roman" w:eastAsia="Times New Roman" w:hAnsi="Times New Roman"/>
          <w:sz w:val="24"/>
          <w:szCs w:val="24"/>
        </w:rPr>
        <w:t>Negotium</w:t>
      </w:r>
      <w:proofErr w:type="spellEnd"/>
      <w:r>
        <w:rPr>
          <w:rFonts w:ascii="Times New Roman" w:eastAsia="Times New Roman" w:hAnsi="Times New Roman"/>
          <w:sz w:val="24"/>
          <w:szCs w:val="24"/>
        </w:rPr>
        <w:t>: revista de ciencias gerenciales, 16(48), 5-17.</w:t>
      </w:r>
    </w:p>
    <w:p w14:paraId="60112E36" w14:textId="77777777" w:rsidR="00C50089"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r w:rsidRPr="00463D78">
        <w:rPr>
          <w:rFonts w:ascii="Times New Roman" w:eastAsia="Times New Roman" w:hAnsi="Times New Roman"/>
          <w:sz w:val="24"/>
          <w:szCs w:val="24"/>
          <w:lang w:val="en-US"/>
        </w:rPr>
        <w:t xml:space="preserve">Cronbach LJ. Coefficient alpha and the internal structure of test. </w:t>
      </w:r>
      <w:proofErr w:type="spellStart"/>
      <w:r>
        <w:rPr>
          <w:rFonts w:ascii="Times New Roman" w:eastAsia="Times New Roman" w:hAnsi="Times New Roman"/>
          <w:sz w:val="24"/>
          <w:szCs w:val="24"/>
        </w:rPr>
        <w:t>Psychometrika</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1951;16:297</w:t>
      </w:r>
      <w:proofErr w:type="gramEnd"/>
      <w:r>
        <w:rPr>
          <w:rFonts w:ascii="Times New Roman" w:eastAsia="Times New Roman" w:hAnsi="Times New Roman"/>
          <w:sz w:val="24"/>
          <w:szCs w:val="24"/>
        </w:rPr>
        <w:t>-334.</w:t>
      </w:r>
    </w:p>
    <w:p w14:paraId="0E26A643" w14:textId="77777777" w:rsidR="00C50089"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El </w:t>
      </w:r>
      <w:proofErr w:type="spellStart"/>
      <w:r>
        <w:rPr>
          <w:rFonts w:ascii="Times New Roman" w:eastAsia="Times New Roman" w:hAnsi="Times New Roman"/>
          <w:sz w:val="24"/>
          <w:szCs w:val="24"/>
        </w:rPr>
        <w:t>Assafiri</w:t>
      </w:r>
      <w:proofErr w:type="spellEnd"/>
      <w:r>
        <w:rPr>
          <w:rFonts w:ascii="Times New Roman" w:eastAsia="Times New Roman" w:hAnsi="Times New Roman"/>
          <w:sz w:val="24"/>
          <w:szCs w:val="24"/>
        </w:rPr>
        <w:t xml:space="preserve"> Ojeda, Y. (2019). Procedimiento general para la gestión del conocimiento estratégico en las organizaciones (Doctoral </w:t>
      </w:r>
      <w:proofErr w:type="spellStart"/>
      <w:r>
        <w:rPr>
          <w:rFonts w:ascii="Times New Roman" w:eastAsia="Times New Roman" w:hAnsi="Times New Roman"/>
          <w:sz w:val="24"/>
          <w:szCs w:val="24"/>
        </w:rPr>
        <w:t>dissertation</w:t>
      </w:r>
      <w:proofErr w:type="spellEnd"/>
      <w:r>
        <w:rPr>
          <w:rFonts w:ascii="Times New Roman" w:eastAsia="Times New Roman" w:hAnsi="Times New Roman"/>
          <w:sz w:val="24"/>
          <w:szCs w:val="24"/>
        </w:rPr>
        <w:t>, Universidad de Matanzas. Facultad de Ciencias Empresariales. Departamento de Industrial).</w:t>
      </w:r>
    </w:p>
    <w:p w14:paraId="7BC5073E" w14:textId="77777777" w:rsidR="00C50089"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proofErr w:type="spellStart"/>
      <w:r>
        <w:rPr>
          <w:rFonts w:ascii="Times New Roman" w:eastAsia="Times New Roman" w:hAnsi="Times New Roman"/>
          <w:sz w:val="24"/>
          <w:szCs w:val="24"/>
        </w:rPr>
        <w:t>Escribá</w:t>
      </w:r>
      <w:proofErr w:type="spellEnd"/>
      <w:r>
        <w:rPr>
          <w:rFonts w:ascii="Times New Roman" w:eastAsia="Times New Roman" w:hAnsi="Times New Roman"/>
          <w:sz w:val="24"/>
          <w:szCs w:val="24"/>
        </w:rPr>
        <w:t xml:space="preserve"> Carda, N., </w:t>
      </w:r>
      <w:proofErr w:type="spellStart"/>
      <w:r>
        <w:rPr>
          <w:rFonts w:ascii="Times New Roman" w:eastAsia="Times New Roman" w:hAnsi="Times New Roman"/>
          <w:sz w:val="24"/>
          <w:szCs w:val="24"/>
        </w:rPr>
        <w:t>Balbastre</w:t>
      </w:r>
      <w:proofErr w:type="spellEnd"/>
      <w:r>
        <w:rPr>
          <w:rFonts w:ascii="Times New Roman" w:eastAsia="Times New Roman" w:hAnsi="Times New Roman"/>
          <w:sz w:val="24"/>
          <w:szCs w:val="24"/>
        </w:rPr>
        <w:t xml:space="preserve"> Benavent, F., &amp; Canet Giner, T. (2013). Prácticas de recursos humanos y su impacto en los resultados de innovación: una revisión teórica. Ciencia y sociedad.</w:t>
      </w:r>
    </w:p>
    <w:p w14:paraId="50B3CA7C" w14:textId="77777777" w:rsidR="00C50089"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García, S. P., Arco Bravo, I. D., &amp; Flores </w:t>
      </w:r>
      <w:proofErr w:type="spellStart"/>
      <w:r>
        <w:rPr>
          <w:rFonts w:ascii="Times New Roman" w:eastAsia="Times New Roman" w:hAnsi="Times New Roman"/>
          <w:sz w:val="24"/>
          <w:szCs w:val="24"/>
        </w:rPr>
        <w:t>Alarcia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Ó</w:t>
      </w:r>
      <w:proofErr w:type="spellEnd"/>
      <w:r>
        <w:rPr>
          <w:rFonts w:ascii="Times New Roman" w:eastAsia="Times New Roman" w:hAnsi="Times New Roman"/>
          <w:sz w:val="24"/>
          <w:szCs w:val="24"/>
        </w:rPr>
        <w:t xml:space="preserve">. (2018). La formación de directores escolares en Cataluña. Lecciones aprendidas a cinco años del decreto de dirección. Bordón, 2018, vol. 70, </w:t>
      </w:r>
      <w:proofErr w:type="spellStart"/>
      <w:r>
        <w:rPr>
          <w:rFonts w:ascii="Times New Roman" w:eastAsia="Times New Roman" w:hAnsi="Times New Roman"/>
          <w:sz w:val="24"/>
          <w:szCs w:val="24"/>
        </w:rPr>
        <w:t>num</w:t>
      </w:r>
      <w:proofErr w:type="spellEnd"/>
      <w:r>
        <w:rPr>
          <w:rFonts w:ascii="Times New Roman" w:eastAsia="Times New Roman" w:hAnsi="Times New Roman"/>
          <w:sz w:val="24"/>
          <w:szCs w:val="24"/>
        </w:rPr>
        <w:t>. 1, p. 109-124.</w:t>
      </w:r>
    </w:p>
    <w:p w14:paraId="1C6BE5B8" w14:textId="77777777" w:rsidR="00C50089"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Hernández-Sampieri, R., &amp; Mendoza, C. (2020). Metodología de la investigación: las rutas cuantitativa, cualitativa y mixta.</w:t>
      </w:r>
    </w:p>
    <w:p w14:paraId="7258822E" w14:textId="77777777" w:rsidR="00C50089" w:rsidRPr="00463D78"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rPr>
        <w:t>Hu</w:t>
      </w:r>
      <w:proofErr w:type="spellEnd"/>
      <w:r>
        <w:rPr>
          <w:rFonts w:ascii="Times New Roman" w:eastAsia="Times New Roman" w:hAnsi="Times New Roman"/>
          <w:sz w:val="24"/>
          <w:szCs w:val="24"/>
        </w:rPr>
        <w:t xml:space="preserve">, L., y </w:t>
      </w:r>
      <w:proofErr w:type="spellStart"/>
      <w:r>
        <w:rPr>
          <w:rFonts w:ascii="Times New Roman" w:eastAsia="Times New Roman" w:hAnsi="Times New Roman"/>
          <w:sz w:val="24"/>
          <w:szCs w:val="24"/>
        </w:rPr>
        <w:t>Bentler</w:t>
      </w:r>
      <w:proofErr w:type="spellEnd"/>
      <w:r>
        <w:rPr>
          <w:rFonts w:ascii="Times New Roman" w:eastAsia="Times New Roman" w:hAnsi="Times New Roman"/>
          <w:sz w:val="24"/>
          <w:szCs w:val="24"/>
        </w:rPr>
        <w:t xml:space="preserve">, PM (1999). Criterios de corte para índices de ajuste en análisis de estructura de covarianza: criterios convencionales versus nuevas alternativas. </w:t>
      </w:r>
      <w:r w:rsidRPr="00463D78">
        <w:rPr>
          <w:rFonts w:ascii="Times New Roman" w:eastAsia="Times New Roman" w:hAnsi="Times New Roman"/>
          <w:sz w:val="24"/>
          <w:szCs w:val="24"/>
          <w:lang w:val="en-US"/>
        </w:rPr>
        <w:t>Structural Equation Modeling, 6, 1 55.</w:t>
      </w:r>
    </w:p>
    <w:p w14:paraId="488723B5" w14:textId="77777777" w:rsidR="00C50089" w:rsidRDefault="00C50089">
      <w:pPr>
        <w:spacing w:line="240" w:lineRule="auto"/>
        <w:ind w:left="709" w:hanging="709"/>
        <w:jc w:val="both"/>
        <w:rPr>
          <w:rFonts w:ascii="Times New Roman" w:eastAsia="Times New Roman" w:hAnsi="Times New Roman"/>
          <w:sz w:val="24"/>
          <w:szCs w:val="24"/>
        </w:rPr>
      </w:pPr>
      <w:proofErr w:type="spellStart"/>
      <w:r w:rsidRPr="00463D78">
        <w:rPr>
          <w:rFonts w:ascii="Times New Roman" w:eastAsia="Times New Roman" w:hAnsi="Times New Roman"/>
          <w:sz w:val="24"/>
          <w:szCs w:val="24"/>
          <w:lang w:val="en-US"/>
        </w:rPr>
        <w:t>Klinge</w:t>
      </w:r>
      <w:proofErr w:type="spellEnd"/>
      <w:r w:rsidRPr="00463D78">
        <w:rPr>
          <w:rFonts w:ascii="Times New Roman" w:eastAsia="Times New Roman" w:hAnsi="Times New Roman"/>
          <w:sz w:val="24"/>
          <w:szCs w:val="24"/>
          <w:lang w:val="en-US"/>
        </w:rPr>
        <w:t xml:space="preserve">, C. M. (2015). A conceptual framework for mentoring in a learning organization. </w:t>
      </w:r>
      <w:proofErr w:type="spellStart"/>
      <w:r>
        <w:rPr>
          <w:rFonts w:ascii="Times New Roman" w:eastAsia="Times New Roman" w:hAnsi="Times New Roman"/>
          <w:sz w:val="24"/>
          <w:szCs w:val="24"/>
        </w:rPr>
        <w:t>Adult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learning</w:t>
      </w:r>
      <w:proofErr w:type="spellEnd"/>
      <w:r>
        <w:rPr>
          <w:rFonts w:ascii="Times New Roman" w:eastAsia="Times New Roman" w:hAnsi="Times New Roman"/>
          <w:sz w:val="24"/>
          <w:szCs w:val="24"/>
        </w:rPr>
        <w:t>, 26(4), 160-166.</w:t>
      </w:r>
    </w:p>
    <w:p w14:paraId="0371C07B" w14:textId="77777777" w:rsidR="00C50089" w:rsidRPr="00463D78"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lang w:val="en-US"/>
        </w:rPr>
      </w:pPr>
      <w:r w:rsidRPr="00463D78">
        <w:rPr>
          <w:rFonts w:ascii="Times New Roman" w:eastAsia="Times New Roman" w:hAnsi="Times New Roman"/>
          <w:sz w:val="24"/>
          <w:szCs w:val="24"/>
          <w:lang w:val="en-US"/>
        </w:rPr>
        <w:t>Liao, S. H., &amp; Wu, C. C. (2010). System perspective of knowledge management, organizational learning, and organizational innovation. Expert systems with Applications, 37(2), 1096-1103.</w:t>
      </w:r>
    </w:p>
    <w:p w14:paraId="3DF1ED79" w14:textId="77777777" w:rsidR="00C50089"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r w:rsidRPr="00C50089">
        <w:rPr>
          <w:rFonts w:ascii="Times New Roman" w:eastAsia="Times New Roman" w:hAnsi="Times New Roman"/>
          <w:sz w:val="24"/>
          <w:szCs w:val="24"/>
          <w:lang w:val="es-CO"/>
        </w:rPr>
        <w:lastRenderedPageBreak/>
        <w:t xml:space="preserve">López Aguirre, J. F., López Salazar, J. L., Falconi Tello, L. X., &amp; </w:t>
      </w:r>
      <w:proofErr w:type="spellStart"/>
      <w:r w:rsidRPr="00C50089">
        <w:rPr>
          <w:rFonts w:ascii="Times New Roman" w:eastAsia="Times New Roman" w:hAnsi="Times New Roman"/>
          <w:sz w:val="24"/>
          <w:szCs w:val="24"/>
          <w:lang w:val="es-CO"/>
        </w:rPr>
        <w:t>Pomaquero</w:t>
      </w:r>
      <w:proofErr w:type="spellEnd"/>
      <w:r w:rsidRPr="00C50089">
        <w:rPr>
          <w:rFonts w:ascii="Times New Roman" w:eastAsia="Times New Roman" w:hAnsi="Times New Roman"/>
          <w:sz w:val="24"/>
          <w:szCs w:val="24"/>
          <w:lang w:val="es-CO"/>
        </w:rPr>
        <w:t xml:space="preserve"> </w:t>
      </w:r>
      <w:proofErr w:type="spellStart"/>
      <w:r w:rsidRPr="00C50089">
        <w:rPr>
          <w:rFonts w:ascii="Times New Roman" w:eastAsia="Times New Roman" w:hAnsi="Times New Roman"/>
          <w:sz w:val="24"/>
          <w:szCs w:val="24"/>
          <w:lang w:val="es-CO"/>
        </w:rPr>
        <w:t>Yuquilema</w:t>
      </w:r>
      <w:proofErr w:type="spellEnd"/>
      <w:r w:rsidRPr="00C50089">
        <w:rPr>
          <w:rFonts w:ascii="Times New Roman" w:eastAsia="Times New Roman" w:hAnsi="Times New Roman"/>
          <w:sz w:val="24"/>
          <w:szCs w:val="24"/>
          <w:lang w:val="es-CO"/>
        </w:rPr>
        <w:t xml:space="preserve">, J. C. (2018). </w:t>
      </w:r>
      <w:r>
        <w:rPr>
          <w:rFonts w:ascii="Times New Roman" w:eastAsia="Times New Roman" w:hAnsi="Times New Roman"/>
          <w:sz w:val="24"/>
          <w:szCs w:val="24"/>
        </w:rPr>
        <w:t>Gestión del conocimiento en las organizaciones: fundamentos, metodologías y praxis. contribuciones a la Economía, (septiembre).</w:t>
      </w:r>
    </w:p>
    <w:p w14:paraId="05301D0B" w14:textId="77777777" w:rsidR="00C50089" w:rsidRPr="00463D78"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lang w:val="en-US"/>
        </w:rPr>
      </w:pPr>
      <w:r w:rsidRPr="00463D78">
        <w:rPr>
          <w:rFonts w:ascii="Times New Roman" w:eastAsia="Times New Roman" w:hAnsi="Times New Roman"/>
          <w:sz w:val="24"/>
          <w:szCs w:val="24"/>
          <w:lang w:val="en-US"/>
        </w:rPr>
        <w:t>Mintzberg, H. (2017). Crafting strategy. In The Aesthetic Turn in Management (pp. 477-486). Routledge.</w:t>
      </w:r>
    </w:p>
    <w:p w14:paraId="21D6D98F" w14:textId="77777777" w:rsidR="00C50089" w:rsidRPr="00463D78" w:rsidRDefault="00C50089">
      <w:pPr>
        <w:spacing w:line="240" w:lineRule="auto"/>
        <w:ind w:left="709" w:hanging="709"/>
        <w:jc w:val="both"/>
        <w:rPr>
          <w:rFonts w:ascii="Times New Roman" w:eastAsia="Times New Roman" w:hAnsi="Times New Roman"/>
          <w:sz w:val="24"/>
          <w:szCs w:val="24"/>
          <w:lang w:val="en-US"/>
        </w:rPr>
      </w:pPr>
      <w:r w:rsidRPr="00463D78">
        <w:rPr>
          <w:rFonts w:ascii="Times New Roman" w:eastAsia="Times New Roman" w:hAnsi="Times New Roman"/>
          <w:sz w:val="24"/>
          <w:szCs w:val="24"/>
          <w:lang w:val="en-US"/>
        </w:rPr>
        <w:t xml:space="preserve">Nonaka, I., &amp; Takeuchi, H. (1995). </w:t>
      </w:r>
      <w:r w:rsidRPr="00463D78">
        <w:rPr>
          <w:rFonts w:ascii="Times New Roman" w:eastAsia="Times New Roman" w:hAnsi="Times New Roman"/>
          <w:i/>
          <w:sz w:val="24"/>
          <w:szCs w:val="24"/>
          <w:lang w:val="en-US"/>
        </w:rPr>
        <w:t>The Knowledge-Creating Company: How Japanese Companies Create the Dynamics of Innovation.</w:t>
      </w:r>
      <w:r w:rsidRPr="00463D78">
        <w:rPr>
          <w:rFonts w:ascii="Times New Roman" w:eastAsia="Times New Roman" w:hAnsi="Times New Roman"/>
          <w:sz w:val="24"/>
          <w:szCs w:val="24"/>
          <w:lang w:val="en-US"/>
        </w:rPr>
        <w:t xml:space="preserve"> Oxford University Press.</w:t>
      </w:r>
    </w:p>
    <w:p w14:paraId="4A64FD05" w14:textId="77777777" w:rsidR="00C50089"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proofErr w:type="spellStart"/>
      <w:r w:rsidRPr="00463D78">
        <w:rPr>
          <w:rFonts w:ascii="Times New Roman" w:eastAsia="Times New Roman" w:hAnsi="Times New Roman"/>
          <w:sz w:val="24"/>
          <w:szCs w:val="24"/>
          <w:lang w:val="en-US"/>
        </w:rPr>
        <w:t>Nooteboom</w:t>
      </w:r>
      <w:proofErr w:type="spellEnd"/>
      <w:r w:rsidRPr="00463D78">
        <w:rPr>
          <w:rFonts w:ascii="Times New Roman" w:eastAsia="Times New Roman" w:hAnsi="Times New Roman"/>
          <w:sz w:val="24"/>
          <w:szCs w:val="24"/>
          <w:lang w:val="en-US"/>
        </w:rPr>
        <w:t xml:space="preserve">, B. (2000). Learning and innovation in organizations and economies. </w:t>
      </w:r>
      <w:r>
        <w:rPr>
          <w:rFonts w:ascii="Times New Roman" w:eastAsia="Times New Roman" w:hAnsi="Times New Roman"/>
          <w:sz w:val="24"/>
          <w:szCs w:val="24"/>
        </w:rPr>
        <w:t>OUP Oxford.</w:t>
      </w:r>
    </w:p>
    <w:p w14:paraId="1F4B79E4" w14:textId="77777777" w:rsidR="00C50089" w:rsidRPr="00463D78" w:rsidRDefault="00C50089">
      <w:pPr>
        <w:spacing w:line="240" w:lineRule="auto"/>
        <w:ind w:left="709" w:hanging="709"/>
        <w:jc w:val="both"/>
        <w:rPr>
          <w:rFonts w:ascii="Times New Roman" w:eastAsia="Times New Roman" w:hAnsi="Times New Roman"/>
          <w:sz w:val="24"/>
          <w:szCs w:val="24"/>
          <w:lang w:val="en-US"/>
        </w:rPr>
      </w:pPr>
      <w:r>
        <w:rPr>
          <w:rFonts w:ascii="Times New Roman" w:eastAsia="Times New Roman" w:hAnsi="Times New Roman"/>
          <w:sz w:val="24"/>
          <w:szCs w:val="24"/>
        </w:rPr>
        <w:t xml:space="preserve">Rivera-Porras, D. (2019).  </w:t>
      </w:r>
      <w:r>
        <w:rPr>
          <w:rFonts w:ascii="Times New Roman" w:eastAsia="Times New Roman" w:hAnsi="Times New Roman"/>
          <w:i/>
          <w:sz w:val="24"/>
          <w:szCs w:val="24"/>
        </w:rPr>
        <w:t>Aproximaciones conceptuales del aprendizaje organizacional.</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Aibi</w:t>
      </w:r>
      <w:proofErr w:type="spellEnd"/>
      <w:r>
        <w:rPr>
          <w:rFonts w:ascii="Times New Roman" w:eastAsia="Times New Roman" w:hAnsi="Times New Roman"/>
          <w:sz w:val="24"/>
          <w:szCs w:val="24"/>
        </w:rPr>
        <w:t xml:space="preserve"> </w:t>
      </w:r>
      <w:r>
        <w:rPr>
          <w:rFonts w:ascii="Times New Roman" w:eastAsia="Times New Roman" w:hAnsi="Times New Roman"/>
          <w:i/>
          <w:sz w:val="24"/>
          <w:szCs w:val="24"/>
        </w:rPr>
        <w:t xml:space="preserve">revista </w:t>
      </w:r>
      <w:proofErr w:type="spellStart"/>
      <w:r>
        <w:rPr>
          <w:rFonts w:ascii="Times New Roman" w:eastAsia="Times New Roman" w:hAnsi="Times New Roman"/>
          <w:i/>
          <w:sz w:val="24"/>
          <w:szCs w:val="24"/>
        </w:rPr>
        <w:t>investig</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adm</w:t>
      </w:r>
      <w:proofErr w:type="spellEnd"/>
      <w:r>
        <w:rPr>
          <w:rFonts w:ascii="Times New Roman" w:eastAsia="Times New Roman" w:hAnsi="Times New Roman"/>
          <w:i/>
          <w:sz w:val="24"/>
          <w:szCs w:val="24"/>
        </w:rPr>
        <w:t xml:space="preserve">. </w:t>
      </w:r>
      <w:proofErr w:type="spellStart"/>
      <w:r>
        <w:rPr>
          <w:rFonts w:ascii="Times New Roman" w:eastAsia="Times New Roman" w:hAnsi="Times New Roman"/>
          <w:i/>
          <w:sz w:val="24"/>
          <w:szCs w:val="24"/>
        </w:rPr>
        <w:t>ing</w:t>
      </w:r>
      <w:proofErr w:type="spellEnd"/>
      <w:r>
        <w:rPr>
          <w:rFonts w:ascii="Times New Roman" w:eastAsia="Times New Roman" w:hAnsi="Times New Roman"/>
          <w:i/>
          <w:sz w:val="24"/>
          <w:szCs w:val="24"/>
        </w:rPr>
        <w:t>, 7 (1), 20-25</w:t>
      </w:r>
      <w:r>
        <w:rPr>
          <w:rFonts w:ascii="Times New Roman" w:eastAsia="Times New Roman" w:hAnsi="Times New Roman"/>
          <w:sz w:val="24"/>
          <w:szCs w:val="24"/>
        </w:rPr>
        <w:t xml:space="preserve">. </w:t>
      </w:r>
      <w:hyperlink r:id="rId10">
        <w:r w:rsidRPr="00463D78">
          <w:rPr>
            <w:rFonts w:ascii="Times New Roman" w:eastAsia="Times New Roman" w:hAnsi="Times New Roman"/>
            <w:sz w:val="24"/>
            <w:szCs w:val="24"/>
            <w:lang w:val="en-US"/>
          </w:rPr>
          <w:t>https://doi.org/10.15649/2346030X.496</w:t>
        </w:r>
      </w:hyperlink>
    </w:p>
    <w:p w14:paraId="2D8FE7D6" w14:textId="77777777" w:rsidR="00C50089"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Rojas-Torres, L. (2020). Robustez de los índices de ajuste del análisis factorial confirmatorio a los valores extremos. Revista de Matemática: Teoría y Aplicaciones, 27(2), 403–424. </w:t>
      </w:r>
      <w:hyperlink r:id="rId11">
        <w:r>
          <w:rPr>
            <w:rFonts w:ascii="Times New Roman" w:eastAsia="Times New Roman" w:hAnsi="Times New Roman"/>
            <w:color w:val="1155CC"/>
            <w:sz w:val="24"/>
            <w:szCs w:val="24"/>
            <w:u w:val="single"/>
          </w:rPr>
          <w:t>https://doi.org/10.15517/rmta.v27i2.33677</w:t>
        </w:r>
      </w:hyperlink>
    </w:p>
    <w:p w14:paraId="04BDC594" w14:textId="77777777" w:rsidR="00C50089" w:rsidRDefault="00C50089">
      <w:pPr>
        <w:spacing w:line="240" w:lineRule="auto"/>
        <w:ind w:left="709" w:hanging="709"/>
        <w:jc w:val="both"/>
        <w:rPr>
          <w:rFonts w:ascii="Times New Roman" w:eastAsia="Times New Roman" w:hAnsi="Times New Roman"/>
          <w:sz w:val="24"/>
          <w:szCs w:val="24"/>
        </w:rPr>
      </w:pPr>
      <w:r w:rsidRPr="00463D78">
        <w:rPr>
          <w:rFonts w:ascii="Times New Roman" w:eastAsia="Times New Roman" w:hAnsi="Times New Roman"/>
          <w:sz w:val="24"/>
          <w:szCs w:val="24"/>
          <w:lang w:val="en-US"/>
        </w:rPr>
        <w:t xml:space="preserve">Senge, P. M. (1990). </w:t>
      </w:r>
      <w:r w:rsidRPr="00463D78">
        <w:rPr>
          <w:rFonts w:ascii="Times New Roman" w:eastAsia="Times New Roman" w:hAnsi="Times New Roman"/>
          <w:i/>
          <w:sz w:val="24"/>
          <w:szCs w:val="24"/>
          <w:lang w:val="en-US"/>
        </w:rPr>
        <w:t>The Fifth Discipline: The Art and Practice of the Learning Organization.</w:t>
      </w:r>
      <w:r w:rsidRPr="00463D78">
        <w:rPr>
          <w:rFonts w:ascii="Times New Roman" w:eastAsia="Times New Roman" w:hAnsi="Times New Roman"/>
          <w:sz w:val="24"/>
          <w:szCs w:val="24"/>
          <w:lang w:val="en-US"/>
        </w:rPr>
        <w:t xml:space="preserve"> </w:t>
      </w:r>
      <w:r>
        <w:rPr>
          <w:rFonts w:ascii="Times New Roman" w:eastAsia="Times New Roman" w:hAnsi="Times New Roman"/>
          <w:sz w:val="24"/>
          <w:szCs w:val="24"/>
        </w:rPr>
        <w:t>Doubleday.</w:t>
      </w:r>
    </w:p>
    <w:p w14:paraId="7F516127" w14:textId="77777777" w:rsidR="00C50089" w:rsidRPr="00463D78"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lang w:val="en-US"/>
        </w:rPr>
      </w:pPr>
      <w:r w:rsidRPr="00463D78">
        <w:rPr>
          <w:rFonts w:ascii="Times New Roman" w:eastAsia="Times New Roman" w:hAnsi="Times New Roman"/>
          <w:sz w:val="24"/>
          <w:szCs w:val="24"/>
          <w:lang w:val="en-US"/>
        </w:rPr>
        <w:t>Steensen, E. F. (2014). Five types of organizational strategy. Scandinavian Journal of Management, 30(3), 266-281.</w:t>
      </w:r>
    </w:p>
    <w:p w14:paraId="700923AE" w14:textId="77777777" w:rsidR="00C50089" w:rsidRPr="00463D78" w:rsidRDefault="00C50089">
      <w:pPr>
        <w:spacing w:line="240" w:lineRule="auto"/>
        <w:ind w:left="709" w:hanging="709"/>
        <w:jc w:val="both"/>
        <w:rPr>
          <w:rFonts w:ascii="Times New Roman" w:eastAsia="Times New Roman" w:hAnsi="Times New Roman"/>
          <w:sz w:val="24"/>
          <w:szCs w:val="24"/>
          <w:lang w:val="en-US"/>
        </w:rPr>
      </w:pPr>
      <w:r w:rsidRPr="00463D78">
        <w:rPr>
          <w:rFonts w:ascii="Times New Roman" w:eastAsia="Times New Roman" w:hAnsi="Times New Roman"/>
          <w:sz w:val="24"/>
          <w:szCs w:val="24"/>
          <w:lang w:val="en-US"/>
        </w:rPr>
        <w:t xml:space="preserve">Susanto, P. C., &amp; </w:t>
      </w:r>
      <w:proofErr w:type="spellStart"/>
      <w:r w:rsidRPr="00463D78">
        <w:rPr>
          <w:rFonts w:ascii="Times New Roman" w:eastAsia="Times New Roman" w:hAnsi="Times New Roman"/>
          <w:sz w:val="24"/>
          <w:szCs w:val="24"/>
          <w:lang w:val="en-US"/>
        </w:rPr>
        <w:t>Sawitri</w:t>
      </w:r>
      <w:proofErr w:type="spellEnd"/>
      <w:r w:rsidRPr="00463D78">
        <w:rPr>
          <w:rFonts w:ascii="Times New Roman" w:eastAsia="Times New Roman" w:hAnsi="Times New Roman"/>
          <w:sz w:val="24"/>
          <w:szCs w:val="24"/>
          <w:lang w:val="en-US"/>
        </w:rPr>
        <w:t xml:space="preserve">, N. N. (2022). Coaching, mentoring, leadership transformation and employee engagement: A review of the literature. </w:t>
      </w:r>
      <w:proofErr w:type="spellStart"/>
      <w:r w:rsidRPr="00463D78">
        <w:rPr>
          <w:rFonts w:ascii="Times New Roman" w:eastAsia="Times New Roman" w:hAnsi="Times New Roman"/>
          <w:sz w:val="24"/>
          <w:szCs w:val="24"/>
          <w:lang w:val="en-US"/>
        </w:rPr>
        <w:t>Dinasti</w:t>
      </w:r>
      <w:proofErr w:type="spellEnd"/>
      <w:r w:rsidRPr="00463D78">
        <w:rPr>
          <w:rFonts w:ascii="Times New Roman" w:eastAsia="Times New Roman" w:hAnsi="Times New Roman"/>
          <w:sz w:val="24"/>
          <w:szCs w:val="24"/>
          <w:lang w:val="en-US"/>
        </w:rPr>
        <w:t xml:space="preserve"> International Journal </w:t>
      </w:r>
      <w:proofErr w:type="gramStart"/>
      <w:r w:rsidRPr="00463D78">
        <w:rPr>
          <w:rFonts w:ascii="Times New Roman" w:eastAsia="Times New Roman" w:hAnsi="Times New Roman"/>
          <w:sz w:val="24"/>
          <w:szCs w:val="24"/>
          <w:lang w:val="en-US"/>
        </w:rPr>
        <w:t>Of</w:t>
      </w:r>
      <w:proofErr w:type="gramEnd"/>
      <w:r w:rsidRPr="00463D78">
        <w:rPr>
          <w:rFonts w:ascii="Times New Roman" w:eastAsia="Times New Roman" w:hAnsi="Times New Roman"/>
          <w:sz w:val="24"/>
          <w:szCs w:val="24"/>
          <w:lang w:val="en-US"/>
        </w:rPr>
        <w:t xml:space="preserve"> Education Management And Social Science, 4(2), 297-308.</w:t>
      </w:r>
    </w:p>
    <w:p w14:paraId="29AAB67C" w14:textId="77777777" w:rsidR="00C50089" w:rsidRDefault="00C50089">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Torres, M. C. P., </w:t>
      </w:r>
      <w:proofErr w:type="spellStart"/>
      <w:r>
        <w:rPr>
          <w:rFonts w:ascii="Times New Roman" w:eastAsia="Times New Roman" w:hAnsi="Times New Roman"/>
          <w:sz w:val="24"/>
          <w:szCs w:val="24"/>
        </w:rPr>
        <w:t>Arnao</w:t>
      </w:r>
      <w:proofErr w:type="spellEnd"/>
      <w:r>
        <w:rPr>
          <w:rFonts w:ascii="Times New Roman" w:eastAsia="Times New Roman" w:hAnsi="Times New Roman"/>
          <w:sz w:val="24"/>
          <w:szCs w:val="24"/>
        </w:rPr>
        <w:t>, V. M. F., Valle, M. D. L. Á. G., Ballesteros, M. A. A., &amp; Merino, L. S. G. (2022). Factores determinantes en la gestión de recursos humanos de la empresa Electronorte SA Chiclayo en la mejora de los procesos de incorporación de innovación tecnológica. Revista Científica Emprendimiento Científico Tecnológico, (3), 41-41.</w:t>
      </w:r>
    </w:p>
    <w:p w14:paraId="2C7F5CFC" w14:textId="77777777" w:rsidR="001B4B84" w:rsidRDefault="001B4B84">
      <w:pPr>
        <w:spacing w:line="240" w:lineRule="auto"/>
        <w:ind w:left="709"/>
        <w:jc w:val="both"/>
        <w:rPr>
          <w:rFonts w:ascii="Times New Roman" w:eastAsia="Times New Roman" w:hAnsi="Times New Roman"/>
          <w:sz w:val="24"/>
          <w:szCs w:val="24"/>
        </w:rPr>
      </w:pPr>
    </w:p>
    <w:p w14:paraId="2D1EFCCD" w14:textId="77777777" w:rsidR="001B4B84" w:rsidRDefault="001B4B84">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p>
    <w:p w14:paraId="18D5025E" w14:textId="77777777" w:rsidR="001B4B84" w:rsidRDefault="001B4B84">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p>
    <w:p w14:paraId="3EC884F9" w14:textId="77777777" w:rsidR="001B4B84" w:rsidRDefault="001B4B84">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p>
    <w:p w14:paraId="2DA22078" w14:textId="77777777" w:rsidR="001B4B84" w:rsidRDefault="001B4B84">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p>
    <w:p w14:paraId="3FC47788" w14:textId="77777777" w:rsidR="001B4B84" w:rsidRDefault="001B4B84">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p>
    <w:p w14:paraId="6F2A715F" w14:textId="77777777" w:rsidR="001B4B84" w:rsidRDefault="001B4B84">
      <w:pPr>
        <w:pBdr>
          <w:top w:val="nil"/>
          <w:left w:val="nil"/>
          <w:bottom w:val="nil"/>
          <w:right w:val="nil"/>
          <w:between w:val="nil"/>
        </w:pBdr>
        <w:spacing w:line="240" w:lineRule="auto"/>
        <w:ind w:left="709" w:hanging="709"/>
        <w:jc w:val="both"/>
        <w:rPr>
          <w:rFonts w:ascii="Times New Roman" w:eastAsia="Times New Roman" w:hAnsi="Times New Roman"/>
          <w:sz w:val="24"/>
          <w:szCs w:val="24"/>
        </w:rPr>
      </w:pPr>
    </w:p>
    <w:sectPr w:rsidR="001B4B84">
      <w:headerReference w:type="default" r:id="rId12"/>
      <w:pgSz w:w="11906" w:h="16838"/>
      <w:pgMar w:top="1418" w:right="1418"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205F" w14:textId="77777777" w:rsidR="009D7613" w:rsidRDefault="009D7613">
      <w:pPr>
        <w:spacing w:after="0" w:line="240" w:lineRule="auto"/>
      </w:pPr>
      <w:r>
        <w:separator/>
      </w:r>
    </w:p>
  </w:endnote>
  <w:endnote w:type="continuationSeparator" w:id="0">
    <w:p w14:paraId="436CBB4C" w14:textId="77777777" w:rsidR="009D7613" w:rsidRDefault="009D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B705" w14:textId="77777777" w:rsidR="009D7613" w:rsidRDefault="009D7613">
      <w:pPr>
        <w:spacing w:after="0" w:line="240" w:lineRule="auto"/>
      </w:pPr>
      <w:r>
        <w:separator/>
      </w:r>
    </w:p>
  </w:footnote>
  <w:footnote w:type="continuationSeparator" w:id="0">
    <w:p w14:paraId="199E6D20" w14:textId="77777777" w:rsidR="009D7613" w:rsidRDefault="009D7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9653" w14:textId="77777777" w:rsidR="001B4B84" w:rsidRDefault="00000000">
    <w:pPr>
      <w:pBdr>
        <w:top w:val="nil"/>
        <w:left w:val="nil"/>
        <w:bottom w:val="nil"/>
        <w:right w:val="nil"/>
        <w:between w:val="nil"/>
      </w:pBdr>
      <w:tabs>
        <w:tab w:val="center" w:pos="4252"/>
        <w:tab w:val="right" w:pos="8504"/>
      </w:tabs>
      <w:spacing w:after="0" w:line="240" w:lineRule="auto"/>
      <w:jc w:val="right"/>
      <w:rPr>
        <w:color w:val="000000"/>
      </w:rPr>
    </w:pPr>
    <w:r>
      <w:rPr>
        <w:noProof/>
        <w:color w:val="000000"/>
      </w:rPr>
      <w:drawing>
        <wp:inline distT="0" distB="0" distL="0" distR="0" wp14:anchorId="57ABC225" wp14:editId="7343E546">
          <wp:extent cx="760917" cy="643760"/>
          <wp:effectExtent l="0" t="0" r="0" b="0"/>
          <wp:docPr id="10971705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917" cy="6437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7480C"/>
    <w:multiLevelType w:val="multilevel"/>
    <w:tmpl w:val="95BE1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775023"/>
    <w:multiLevelType w:val="multilevel"/>
    <w:tmpl w:val="44420A78"/>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pStyle w:val="Ttulo7"/>
      <w:lvlText w:val="-"/>
      <w:lvlJc w:val="left"/>
      <w:pPr>
        <w:ind w:left="5040" w:hanging="360"/>
      </w:pPr>
      <w:rPr>
        <w:u w:val="none"/>
      </w:rPr>
    </w:lvl>
    <w:lvl w:ilvl="7">
      <w:start w:val="1"/>
      <w:numFmt w:val="bullet"/>
      <w:pStyle w:val="Ttulo8"/>
      <w:lvlText w:val="-"/>
      <w:lvlJc w:val="left"/>
      <w:pPr>
        <w:ind w:left="5760" w:hanging="360"/>
      </w:pPr>
      <w:rPr>
        <w:u w:val="none"/>
      </w:rPr>
    </w:lvl>
    <w:lvl w:ilvl="8">
      <w:start w:val="1"/>
      <w:numFmt w:val="bullet"/>
      <w:pStyle w:val="Ttulo9"/>
      <w:lvlText w:val="-"/>
      <w:lvlJc w:val="left"/>
      <w:pPr>
        <w:ind w:left="6480" w:hanging="360"/>
      </w:pPr>
      <w:rPr>
        <w:u w:val="none"/>
      </w:rPr>
    </w:lvl>
  </w:abstractNum>
  <w:abstractNum w:abstractNumId="2" w15:restartNumberingAfterBreak="0">
    <w:nsid w:val="53D66FBF"/>
    <w:multiLevelType w:val="multilevel"/>
    <w:tmpl w:val="95346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7809758">
    <w:abstractNumId w:val="1"/>
  </w:num>
  <w:num w:numId="2" w16cid:durableId="720979785">
    <w:abstractNumId w:val="2"/>
  </w:num>
  <w:num w:numId="3" w16cid:durableId="22310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84"/>
    <w:rsid w:val="001B4B84"/>
    <w:rsid w:val="00463D78"/>
    <w:rsid w:val="009D7613"/>
    <w:rsid w:val="00C500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01BA8"/>
  <w15:docId w15:val="{3E875780-2528-7547-A8C4-90D919AE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
    <w:qFormat/>
    <w:rsid w:val="00423E1C"/>
    <w:pPr>
      <w:keepNext/>
      <w:numPr>
        <w:numId w:val="1"/>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
    <w:semiHidden/>
    <w:unhideWhenUsed/>
    <w:qFormat/>
    <w:rsid w:val="00423E1C"/>
    <w:pPr>
      <w:keepNext/>
      <w:numPr>
        <w:ilvl w:val="1"/>
        <w:numId w:val="1"/>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
    <w:semiHidden/>
    <w:unhideWhenUsed/>
    <w:qFormat/>
    <w:rsid w:val="00423E1C"/>
    <w:pPr>
      <w:keepNext/>
      <w:numPr>
        <w:ilvl w:val="2"/>
        <w:numId w:val="1"/>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
    <w:semiHidden/>
    <w:unhideWhenUsed/>
    <w:qFormat/>
    <w:rsid w:val="00423E1C"/>
    <w:pPr>
      <w:keepNext/>
      <w:numPr>
        <w:ilvl w:val="3"/>
        <w:numId w:val="1"/>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
    <w:semiHidden/>
    <w:unhideWhenUsed/>
    <w:qFormat/>
    <w:rsid w:val="00423E1C"/>
    <w:pPr>
      <w:numPr>
        <w:ilvl w:val="4"/>
        <w:numId w:val="1"/>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
    <w:semiHidden/>
    <w:unhideWhenUsed/>
    <w:qFormat/>
    <w:rsid w:val="00423E1C"/>
    <w:pPr>
      <w:numPr>
        <w:ilvl w:val="5"/>
        <w:numId w:val="1"/>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1"/>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1"/>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1"/>
      </w:numPr>
      <w:spacing w:before="240" w:after="60" w:line="240" w:lineRule="auto"/>
      <w:jc w:val="both"/>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IATED-Title"/>
    <w:basedOn w:val="Normal"/>
    <w:link w:val="TtuloCar"/>
    <w:uiPriority w:val="10"/>
    <w:qFormat/>
    <w:rsid w:val="00A86C41"/>
    <w:pPr>
      <w:spacing w:before="240" w:after="120" w:line="240" w:lineRule="auto"/>
      <w:jc w:val="center"/>
    </w:pPr>
    <w:rPr>
      <w:rFonts w:ascii="Arial" w:hAnsi="Arial"/>
      <w:b/>
      <w:bCs/>
      <w:sz w:val="24"/>
      <w:szCs w:val="24"/>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Textoennegrita">
    <w:name w:val="Strong"/>
    <w:basedOn w:val="Fuentedeprrafopredeter"/>
    <w:uiPriority w:val="22"/>
    <w:qFormat/>
    <w:rsid w:val="00F33B2A"/>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517/rmta.v27i2.33677" TargetMode="External"/><Relationship Id="rId5" Type="http://schemas.openxmlformats.org/officeDocument/2006/relationships/webSettings" Target="webSettings.xml"/><Relationship Id="rId10" Type="http://schemas.openxmlformats.org/officeDocument/2006/relationships/hyperlink" Target="https://doi.org/10.15649/2346030X.49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e4je0+7hxL3cGxK+gUfdE9xhmA==">CgMxLjAaHgoBMBIZChcICVITChF0YWJsZS5keXpjMHp3bmQxZxofCgExEhoKGAgJUhQKEnRhYmxlLnFwMHVsZ2g3cTljZxofCgEyEhoKGAgJUhQKEnRhYmxlLm13ZXdwNW4zeXJ4ODgAciExMHFJLWtFY1pwSnlSS05ZdFc4eWZkRjdvZGMzQm9IU2g=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2660</Words>
  <Characters>15991</Characters>
  <Application>Microsoft Office Word</Application>
  <DocSecurity>0</DocSecurity>
  <Lines>345</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Sandra Cristina Riascos</cp:lastModifiedBy>
  <cp:revision>2</cp:revision>
  <dcterms:created xsi:type="dcterms:W3CDTF">2025-01-21T17:03:00Z</dcterms:created>
  <dcterms:modified xsi:type="dcterms:W3CDTF">2025-02-16T14:43:00Z</dcterms:modified>
</cp:coreProperties>
</file>